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47E63" w:rsidRPr="00B47E6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Sládkova </w:t>
      </w:r>
      <w:r w:rsidR="00B47E63" w:rsidRPr="00B47E63">
        <w:rPr>
          <w:rFonts w:ascii="Times New Roman" w:hAnsi="Times New Roman"/>
          <w:b/>
          <w:bCs/>
          <w:sz w:val="32"/>
          <w:szCs w:val="32"/>
          <w:highlight w:val="yellow"/>
          <w:lang w:eastAsia="cs-CZ"/>
        </w:rPr>
        <w:t>4, 6</w:t>
      </w:r>
      <w:r w:rsidR="00B47E63" w:rsidRPr="00B47E6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– stavební úpravy domů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B47E63" w:rsidRDefault="00B47E63" w:rsidP="00A968F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B47E63">
        <w:rPr>
          <w:rFonts w:ascii="Times New Roman" w:hAnsi="Times New Roman"/>
          <w:i/>
          <w:highlight w:val="yellow"/>
          <w:lang w:eastAsia="cs-CZ"/>
        </w:rPr>
        <w:t>(Uchazeč upraví dle příslušné části veřejné zakázky)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 vykonává tuto 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42" w:rsidRDefault="00121642" w:rsidP="00731FA2">
      <w:pPr>
        <w:spacing w:after="0" w:line="240" w:lineRule="auto"/>
      </w:pPr>
      <w:r>
        <w:separator/>
      </w:r>
    </w:p>
  </w:endnote>
  <w:endnote w:type="continuationSeparator" w:id="0">
    <w:p w:rsidR="00121642" w:rsidRDefault="0012164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2164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0A1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0A10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42" w:rsidRDefault="00121642" w:rsidP="00731FA2">
      <w:pPr>
        <w:spacing w:after="0" w:line="240" w:lineRule="auto"/>
      </w:pPr>
      <w:r>
        <w:separator/>
      </w:r>
    </w:p>
  </w:footnote>
  <w:footnote w:type="continuationSeparator" w:id="0">
    <w:p w:rsidR="00121642" w:rsidRDefault="0012164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2164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709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2015-10-30T10:13:00Z</cp:lastPrinted>
  <dcterms:created xsi:type="dcterms:W3CDTF">2015-10-30T10:13:00Z</dcterms:created>
  <dcterms:modified xsi:type="dcterms:W3CDTF">2015-10-30T10:14:00Z</dcterms:modified>
</cp:coreProperties>
</file>