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D46CF">
        <w:rPr>
          <w:rFonts w:ascii="Calibri" w:hAnsi="Calibri" w:cs="Arial"/>
          <w:b/>
          <w:bCs/>
          <w:i w:val="0"/>
          <w:iCs w:val="0"/>
          <w:color w:val="3366FF"/>
          <w:sz w:val="28"/>
          <w:szCs w:val="28"/>
          <w:u w:val="none"/>
        </w:rPr>
        <w:t>8</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Pr="004F7AE0" w:rsidRDefault="004F7AE0"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rPr>
      </w:pPr>
      <w:r>
        <w:rPr>
          <w:rFonts w:ascii="Calibri" w:hAnsi="Calibri" w:cs="Arial"/>
          <w:b/>
        </w:rPr>
        <w:t xml:space="preserve">                                              </w:t>
      </w:r>
      <w:r w:rsidRPr="004F7AE0">
        <w:rPr>
          <w:rFonts w:ascii="Calibri" w:hAnsi="Calibri" w:cs="Arial"/>
        </w:rPr>
        <w:t>Ev. č. veřejné zakázky: 36/2018/B/SP/OM/</w:t>
      </w:r>
      <w:proofErr w:type="spellStart"/>
      <w:r w:rsidRPr="004F7AE0">
        <w:rPr>
          <w:rFonts w:ascii="Calibri" w:hAnsi="Calibri" w:cs="Arial"/>
        </w:rPr>
        <w:t>Bi</w:t>
      </w:r>
      <w:proofErr w:type="spellEnd"/>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67C6A" w:rsidRDefault="00767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5D1094" w:rsidRDefault="00D378F8" w:rsidP="00791D6F">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 xml:space="preserve">ouvě. </w:t>
      </w:r>
      <w:r w:rsidR="00791D6F" w:rsidRPr="00791D6F">
        <w:rPr>
          <w:rFonts w:ascii="Calibri" w:hAnsi="Calibri"/>
          <w:szCs w:val="22"/>
        </w:rPr>
        <w:t>Předmětem této veřejné zakázky je kompletní výměna 2 stávajících ocelových výkladců za nové dřevěné výkladce v domě na ul. Tyršova 1761/14 v Moravské Ostravě.</w:t>
      </w:r>
    </w:p>
    <w:p w:rsidR="00791D6F" w:rsidRDefault="00791D6F" w:rsidP="00791D6F">
      <w:pPr>
        <w:ind w:left="567" w:hanging="567"/>
        <w:rPr>
          <w:rFonts w:ascii="Calibri" w:hAnsi="Calibri" w:cs="Arial"/>
          <w:szCs w:val="22"/>
        </w:rPr>
      </w:pPr>
    </w:p>
    <w:p w:rsidR="00791D6F" w:rsidRDefault="00B71501" w:rsidP="00791D6F">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791D6F" w:rsidRPr="00791D6F">
        <w:rPr>
          <w:rFonts w:ascii="Calibri" w:hAnsi="Calibri" w:cs="Arial"/>
          <w:szCs w:val="22"/>
        </w:rPr>
        <w:t xml:space="preserve">Požadovaná specifikace výkladců </w:t>
      </w:r>
      <w:r w:rsidR="00791D6F" w:rsidRPr="00791D6F">
        <w:rPr>
          <w:rFonts w:ascii="Calibri" w:hAnsi="Calibri" w:cs="Arial"/>
          <w:b/>
          <w:szCs w:val="22"/>
        </w:rPr>
        <w:t xml:space="preserve">pozice </w:t>
      </w:r>
      <w:proofErr w:type="gramStart"/>
      <w:r w:rsidR="00791D6F" w:rsidRPr="00791D6F">
        <w:rPr>
          <w:rFonts w:ascii="Calibri" w:hAnsi="Calibri" w:cs="Arial"/>
          <w:b/>
          <w:szCs w:val="22"/>
        </w:rPr>
        <w:t>č.1</w:t>
      </w:r>
      <w:r w:rsidR="00791D6F" w:rsidRPr="00791D6F">
        <w:rPr>
          <w:rFonts w:ascii="Calibri" w:hAnsi="Calibri" w:cs="Arial"/>
          <w:szCs w:val="22"/>
        </w:rPr>
        <w:t>: barva</w:t>
      </w:r>
      <w:proofErr w:type="gramEnd"/>
      <w:r w:rsidR="00791D6F" w:rsidRPr="00791D6F">
        <w:rPr>
          <w:rFonts w:ascii="Calibri" w:hAnsi="Calibri" w:cs="Arial"/>
          <w:szCs w:val="22"/>
        </w:rPr>
        <w:t xml:space="preserve"> hnědá lazura RAL 8016 Mahagony Brown,</w:t>
      </w:r>
    </w:p>
    <w:p w:rsidR="00791D6F" w:rsidRPr="00791D6F" w:rsidRDefault="00791D6F" w:rsidP="00791D6F">
      <w:pPr>
        <w:ind w:left="567" w:hanging="567"/>
        <w:rPr>
          <w:rFonts w:ascii="Calibri" w:hAnsi="Calibri" w:cs="Arial"/>
          <w:szCs w:val="22"/>
        </w:rPr>
      </w:pPr>
      <w:r>
        <w:rPr>
          <w:rFonts w:ascii="Calibri" w:hAnsi="Calibri" w:cs="Arial"/>
          <w:szCs w:val="22"/>
        </w:rPr>
        <w:t xml:space="preserve">      </w:t>
      </w:r>
      <w:r w:rsidRPr="00791D6F">
        <w:rPr>
          <w:rFonts w:ascii="Calibri" w:hAnsi="Calibri" w:cs="Arial"/>
          <w:szCs w:val="22"/>
        </w:rPr>
        <w:t xml:space="preserve">     </w:t>
      </w:r>
      <w:r>
        <w:rPr>
          <w:rFonts w:ascii="Calibri" w:hAnsi="Calibri" w:cs="Arial"/>
          <w:szCs w:val="22"/>
        </w:rPr>
        <w:t>p</w:t>
      </w:r>
      <w:r w:rsidRPr="00791D6F">
        <w:rPr>
          <w:rFonts w:ascii="Calibri" w:hAnsi="Calibri" w:cs="Arial"/>
          <w:szCs w:val="22"/>
        </w:rPr>
        <w:t xml:space="preserve">rofil smrk napojovaný </w:t>
      </w:r>
      <w:proofErr w:type="gramStart"/>
      <w:r w:rsidRPr="00791D6F">
        <w:rPr>
          <w:rFonts w:ascii="Calibri" w:hAnsi="Calibri" w:cs="Arial"/>
          <w:szCs w:val="22"/>
        </w:rPr>
        <w:t>tl.78</w:t>
      </w:r>
      <w:proofErr w:type="gramEnd"/>
      <w:r w:rsidRPr="00791D6F">
        <w:rPr>
          <w:rFonts w:ascii="Calibri" w:hAnsi="Calibri" w:cs="Arial"/>
          <w:szCs w:val="22"/>
        </w:rPr>
        <w:t xml:space="preserve"> mm, zasklení izolačním bezpečnostním dvojsklem, spodní část</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výkladce fix, vrchní část výkladce výklopná</w:t>
      </w:r>
      <w:r w:rsidR="00DC5300">
        <w:rPr>
          <w:rFonts w:ascii="Calibri" w:hAnsi="Calibri" w:cs="Arial"/>
          <w:szCs w:val="22"/>
        </w:rPr>
        <w:t>,</w:t>
      </w:r>
      <w:r w:rsidRPr="00791D6F">
        <w:rPr>
          <w:rFonts w:ascii="Calibri" w:hAnsi="Calibri" w:cs="Arial"/>
          <w:szCs w:val="22"/>
        </w:rPr>
        <w:t xml:space="preserve"> opatřena pákovým ovladačem na zdi. </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Požadovaná specifikace výkladců </w:t>
      </w:r>
      <w:r w:rsidRPr="00791D6F">
        <w:rPr>
          <w:rFonts w:ascii="Calibri" w:hAnsi="Calibri" w:cs="Arial"/>
          <w:b/>
          <w:szCs w:val="22"/>
        </w:rPr>
        <w:t>pozice č. 2</w:t>
      </w:r>
      <w:r w:rsidRPr="00791D6F">
        <w:rPr>
          <w:rFonts w:ascii="Calibri" w:hAnsi="Calibri" w:cs="Arial"/>
          <w:szCs w:val="22"/>
        </w:rPr>
        <w:t xml:space="preserve"> </w:t>
      </w:r>
      <w:r w:rsidRPr="00791D6F">
        <w:rPr>
          <w:rFonts w:ascii="Calibri" w:hAnsi="Calibri" w:cs="Arial"/>
          <w:b/>
          <w:szCs w:val="22"/>
        </w:rPr>
        <w:t>se vstupními dveřmi</w:t>
      </w:r>
      <w:r w:rsidRPr="00791D6F">
        <w:rPr>
          <w:rFonts w:ascii="Calibri" w:hAnsi="Calibri" w:cs="Arial"/>
          <w:szCs w:val="22"/>
        </w:rPr>
        <w:t>: barva hnědá lazura RAL 8016</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Mahagony Brown, profil smrk napojovaný </w:t>
      </w:r>
      <w:proofErr w:type="spellStart"/>
      <w:r w:rsidRPr="00791D6F">
        <w:rPr>
          <w:rFonts w:ascii="Calibri" w:hAnsi="Calibri" w:cs="Arial"/>
          <w:szCs w:val="22"/>
        </w:rPr>
        <w:t>tl</w:t>
      </w:r>
      <w:proofErr w:type="spellEnd"/>
      <w:r w:rsidRPr="00791D6F">
        <w:rPr>
          <w:rFonts w:ascii="Calibri" w:hAnsi="Calibri" w:cs="Arial"/>
          <w:szCs w:val="22"/>
        </w:rPr>
        <w:t>. 78 mm, zasklení izolačním bezpečnostním dvojsklem,</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spodní část výkladce fix, vstupní dveře ve spodní části plné kazetové, </w:t>
      </w:r>
      <w:proofErr w:type="spellStart"/>
      <w:r w:rsidRPr="00791D6F">
        <w:rPr>
          <w:rFonts w:ascii="Calibri" w:hAnsi="Calibri" w:cs="Arial"/>
          <w:szCs w:val="22"/>
        </w:rPr>
        <w:t>samozavírač</w:t>
      </w:r>
      <w:proofErr w:type="spellEnd"/>
      <w:r w:rsidRPr="00791D6F">
        <w:rPr>
          <w:rFonts w:ascii="Calibri" w:hAnsi="Calibri" w:cs="Arial"/>
          <w:szCs w:val="22"/>
        </w:rPr>
        <w:t>, 1x bezpečnostní</w:t>
      </w:r>
    </w:p>
    <w:p w:rsidR="00791D6F" w:rsidRPr="00791D6F" w:rsidRDefault="00791D6F" w:rsidP="00791D6F">
      <w:pPr>
        <w:ind w:left="426" w:hanging="142"/>
        <w:rPr>
          <w:rFonts w:ascii="Calibri" w:hAnsi="Calibri" w:cs="Arial"/>
          <w:szCs w:val="22"/>
        </w:rPr>
      </w:pPr>
      <w:r w:rsidRPr="00791D6F">
        <w:rPr>
          <w:rFonts w:ascii="Calibri" w:hAnsi="Calibri" w:cs="Arial"/>
          <w:szCs w:val="22"/>
        </w:rPr>
        <w:t xml:space="preserve">      zámek klika/klika a 1x bezpečnostní zámek ve vrchní části dveří bez kliky, vrchní část výkladce</w:t>
      </w:r>
    </w:p>
    <w:p w:rsidR="005D1094" w:rsidRDefault="00791D6F" w:rsidP="00791D6F">
      <w:pPr>
        <w:ind w:left="426" w:hanging="142"/>
        <w:rPr>
          <w:rFonts w:ascii="Calibri" w:hAnsi="Calibri" w:cs="Arial"/>
          <w:szCs w:val="22"/>
        </w:rPr>
      </w:pPr>
      <w:r w:rsidRPr="00791D6F">
        <w:rPr>
          <w:rFonts w:ascii="Calibri" w:hAnsi="Calibri" w:cs="Arial"/>
          <w:szCs w:val="22"/>
        </w:rPr>
        <w:t xml:space="preserve">      výklopná</w:t>
      </w:r>
      <w:r w:rsidR="00DC5300">
        <w:rPr>
          <w:rFonts w:ascii="Calibri" w:hAnsi="Calibri" w:cs="Arial"/>
          <w:szCs w:val="22"/>
        </w:rPr>
        <w:t>,</w:t>
      </w:r>
      <w:r w:rsidRPr="00791D6F">
        <w:rPr>
          <w:rFonts w:ascii="Calibri" w:hAnsi="Calibri" w:cs="Arial"/>
          <w:szCs w:val="22"/>
        </w:rPr>
        <w:t xml:space="preserve"> opatřena pákovým ovladačem na zdi.</w:t>
      </w:r>
    </w:p>
    <w:p w:rsidR="00791D6F" w:rsidRDefault="00791D6F" w:rsidP="00791D6F">
      <w:pPr>
        <w:ind w:left="426" w:hanging="142"/>
        <w:rPr>
          <w:rFonts w:ascii="Calibri" w:hAnsi="Calibri" w:cs="Arial"/>
          <w:szCs w:val="22"/>
        </w:rPr>
      </w:pPr>
    </w:p>
    <w:p w:rsidR="00791D6F" w:rsidRDefault="00092AF7" w:rsidP="00791D6F">
      <w:pPr>
        <w:widowControl w:val="0"/>
        <w:suppressAutoHyphens/>
        <w:overflowPunct w:val="0"/>
        <w:autoSpaceDE w:val="0"/>
        <w:ind w:left="0" w:firstLine="0"/>
        <w:textAlignment w:val="baseline"/>
        <w:rPr>
          <w:rFonts w:ascii="Calibri" w:hAnsi="Calibri" w:cs="Arial"/>
          <w:szCs w:val="22"/>
        </w:rPr>
      </w:pPr>
      <w:proofErr w:type="gramStart"/>
      <w:r w:rsidRPr="00092AF7">
        <w:rPr>
          <w:rFonts w:ascii="Calibri" w:hAnsi="Calibri" w:cs="Arial"/>
          <w:szCs w:val="22"/>
        </w:rPr>
        <w:t>2.</w:t>
      </w:r>
      <w:r w:rsidR="00667822">
        <w:rPr>
          <w:rFonts w:ascii="Calibri" w:hAnsi="Calibri" w:cs="Arial"/>
          <w:szCs w:val="22"/>
        </w:rPr>
        <w:t>3</w:t>
      </w:r>
      <w:r w:rsidR="006675D5">
        <w:rPr>
          <w:rFonts w:ascii="Calibri" w:hAnsi="Calibri" w:cs="Arial"/>
          <w:szCs w:val="22"/>
        </w:rPr>
        <w:t xml:space="preserve">     </w:t>
      </w:r>
      <w:r w:rsidR="00791D6F">
        <w:rPr>
          <w:rFonts w:ascii="Calibri" w:hAnsi="Calibri" w:cs="Arial"/>
          <w:szCs w:val="22"/>
        </w:rPr>
        <w:t xml:space="preserve"> </w:t>
      </w:r>
      <w:r w:rsidR="00791D6F" w:rsidRPr="00791D6F">
        <w:rPr>
          <w:rFonts w:ascii="Calibri" w:hAnsi="Calibri" w:cs="Arial"/>
          <w:szCs w:val="22"/>
        </w:rPr>
        <w:t>Minimální</w:t>
      </w:r>
      <w:proofErr w:type="gramEnd"/>
      <w:r w:rsidR="00791D6F" w:rsidRPr="00791D6F">
        <w:rPr>
          <w:rFonts w:ascii="Calibri" w:hAnsi="Calibri" w:cs="Arial"/>
          <w:szCs w:val="22"/>
        </w:rPr>
        <w:t xml:space="preserve"> požadavky na montáž výkladců: montáž výkladců bude provedena dle ČSN normy číslo</w:t>
      </w:r>
    </w:p>
    <w:p w:rsidR="00791D6F" w:rsidRPr="00791D6F" w:rsidRDefault="00791D6F" w:rsidP="00791D6F">
      <w:pPr>
        <w:widowControl w:val="0"/>
        <w:suppressAutoHyphens/>
        <w:overflowPunct w:val="0"/>
        <w:autoSpaceDE w:val="0"/>
        <w:ind w:left="0" w:firstLine="0"/>
        <w:textAlignment w:val="baseline"/>
        <w:rPr>
          <w:rFonts w:ascii="Calibri" w:hAnsi="Calibri" w:cs="Arial"/>
          <w:szCs w:val="22"/>
        </w:rPr>
      </w:pPr>
      <w:r>
        <w:rPr>
          <w:rFonts w:ascii="Calibri" w:hAnsi="Calibri" w:cs="Arial"/>
          <w:szCs w:val="22"/>
        </w:rPr>
        <w:t xml:space="preserve">    </w:t>
      </w:r>
      <w:r w:rsidRPr="00791D6F">
        <w:rPr>
          <w:rFonts w:ascii="Calibri" w:hAnsi="Calibri" w:cs="Arial"/>
          <w:szCs w:val="22"/>
        </w:rPr>
        <w:t xml:space="preserve">      </w:t>
      </w:r>
      <w:r>
        <w:rPr>
          <w:rFonts w:ascii="Calibri" w:hAnsi="Calibri" w:cs="Arial"/>
          <w:szCs w:val="22"/>
        </w:rPr>
        <w:t xml:space="preserve"> </w:t>
      </w:r>
      <w:r w:rsidRPr="00791D6F">
        <w:rPr>
          <w:rFonts w:ascii="Calibri" w:hAnsi="Calibri" w:cs="Arial"/>
          <w:szCs w:val="22"/>
        </w:rPr>
        <w:t>746077, včetně oboustranného zednického zapravení ostění a špalet a 1x výmalby vnitřních špalet</w:t>
      </w:r>
    </w:p>
    <w:p w:rsidR="00092AF7" w:rsidRDefault="00791D6F" w:rsidP="00791D6F">
      <w:pPr>
        <w:widowControl w:val="0"/>
        <w:suppressAutoHyphens/>
        <w:overflowPunct w:val="0"/>
        <w:autoSpaceDE w:val="0"/>
        <w:ind w:left="0" w:firstLine="0"/>
        <w:textAlignment w:val="baseline"/>
        <w:rPr>
          <w:rFonts w:ascii="Calibri" w:hAnsi="Calibri" w:cs="Arial"/>
          <w:szCs w:val="22"/>
        </w:rPr>
      </w:pPr>
      <w:r w:rsidRPr="00791D6F">
        <w:rPr>
          <w:rFonts w:ascii="Calibri" w:hAnsi="Calibri" w:cs="Arial"/>
          <w:szCs w:val="22"/>
        </w:rPr>
        <w:t xml:space="preserve">      </w:t>
      </w:r>
      <w:r>
        <w:rPr>
          <w:rFonts w:ascii="Calibri" w:hAnsi="Calibri" w:cs="Arial"/>
          <w:szCs w:val="22"/>
        </w:rPr>
        <w:t xml:space="preserve">     </w:t>
      </w:r>
      <w:r w:rsidRPr="00791D6F">
        <w:rPr>
          <w:rFonts w:ascii="Calibri" w:hAnsi="Calibri" w:cs="Arial"/>
          <w:szCs w:val="22"/>
        </w:rPr>
        <w:t>a 2x výmalby vnějšího ostění fasádní světlou barvou.</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8E7F98">
        <w:rPr>
          <w:rFonts w:ascii="Calibri" w:hAnsi="Calibri"/>
          <w:szCs w:val="22"/>
        </w:rPr>
        <w:t>4</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8E7F98">
        <w:rPr>
          <w:rFonts w:ascii="Calibri" w:hAnsi="Calibri"/>
          <w:szCs w:val="22"/>
        </w:rPr>
        <w:t>12</w:t>
      </w:r>
      <w:r w:rsidR="00A131CA">
        <w:rPr>
          <w:rFonts w:ascii="Calibri" w:hAnsi="Calibri"/>
          <w:szCs w:val="22"/>
        </w:rPr>
        <w:t xml:space="preserve">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8E7F98">
        <w:rPr>
          <w:rFonts w:ascii="Calibri" w:hAnsi="Calibri"/>
        </w:rPr>
        <w:t>5</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 xml:space="preserve">specifikace  - </w:t>
      </w:r>
      <w:r w:rsidR="008E7F98">
        <w:rPr>
          <w:rFonts w:ascii="Calibri" w:hAnsi="Calibri"/>
        </w:rPr>
        <w:t>soupisů požadovaných prací</w:t>
      </w:r>
      <w:r w:rsidR="006967C4">
        <w:rPr>
          <w:rFonts w:ascii="Calibri" w:hAnsi="Calibri"/>
        </w:rPr>
        <w:t>,</w:t>
      </w:r>
      <w:r w:rsidR="00092AF7">
        <w:rPr>
          <w:rFonts w:ascii="Calibri" w:hAnsi="Calibri"/>
        </w:rPr>
        <w:t xml:space="preserve">  dle bodu 2.1.</w:t>
      </w:r>
      <w:r w:rsidR="006575DC">
        <w:rPr>
          <w:rFonts w:ascii="Calibri" w:hAnsi="Calibri"/>
        </w:rPr>
        <w:t xml:space="preserve"> a dle bodu 2.2 a 2.3</w:t>
      </w:r>
      <w:r w:rsidR="00B71501">
        <w:rPr>
          <w:rFonts w:ascii="Calibri" w:hAnsi="Calibri"/>
        </w:rPr>
        <w:t>.</w:t>
      </w:r>
    </w:p>
    <w:p w:rsidR="00092AF7" w:rsidRDefault="00092AF7" w:rsidP="00A10DE4">
      <w:pPr>
        <w:pStyle w:val="Normln1"/>
        <w:tabs>
          <w:tab w:val="left" w:pos="1526"/>
        </w:tabs>
        <w:ind w:left="567" w:hanging="567"/>
        <w:jc w:val="both"/>
        <w:rPr>
          <w:rFonts w:ascii="Calibri" w:hAnsi="Calibri"/>
        </w:rPr>
      </w:pPr>
    </w:p>
    <w:p w:rsidR="00092AF7" w:rsidRPr="00092AF7" w:rsidRDefault="00092AF7" w:rsidP="00092AF7">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8E7F98">
        <w:rPr>
          <w:rFonts w:eastAsia="Times New Roman"/>
          <w:noProof/>
          <w:lang w:eastAsia="cs-CZ"/>
        </w:rPr>
        <w:t>6</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Pr="00092AF7">
        <w:rPr>
          <w:rFonts w:eastAsia="Times New Roman"/>
          <w:noProof/>
          <w:lang w:eastAsia="cs-CZ"/>
        </w:rPr>
        <w:t>Před zahájením prací (výrobou oken) je nutné zaměřit stavební otvory a předložit objednateli výrobní</w:t>
      </w:r>
    </w:p>
    <w:p w:rsidR="006575DC"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     </w:t>
      </w:r>
      <w:r>
        <w:rPr>
          <w:rFonts w:ascii="Calibri" w:hAnsi="Calibri"/>
          <w:noProof/>
          <w:szCs w:val="22"/>
        </w:rPr>
        <w:t xml:space="preserve">     </w:t>
      </w:r>
      <w:r w:rsidR="00667822">
        <w:rPr>
          <w:rFonts w:ascii="Calibri" w:hAnsi="Calibri"/>
          <w:noProof/>
          <w:szCs w:val="22"/>
        </w:rPr>
        <w:t xml:space="preserve"> </w:t>
      </w:r>
      <w:r w:rsidRPr="00092AF7">
        <w:rPr>
          <w:rFonts w:ascii="Calibri" w:hAnsi="Calibri"/>
          <w:noProof/>
          <w:szCs w:val="22"/>
        </w:rPr>
        <w:t>dokumentaci, kterou následně objednatel písemně potvrdí zhotoviteli</w:t>
      </w:r>
      <w:r w:rsidR="006575DC">
        <w:rPr>
          <w:rFonts w:ascii="Calibri" w:hAnsi="Calibri"/>
          <w:noProof/>
          <w:szCs w:val="22"/>
        </w:rPr>
        <w:t xml:space="preserve"> nejpozději do 3 pracovních dnů</w:t>
      </w:r>
    </w:p>
    <w:p w:rsidR="00092AF7" w:rsidRDefault="006575DC" w:rsidP="00092AF7">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od zaslaní této dokumentace.</w:t>
      </w:r>
    </w:p>
    <w:p w:rsidR="006967C4" w:rsidRDefault="006967C4" w:rsidP="00092AF7">
      <w:pPr>
        <w:widowControl w:val="0"/>
        <w:suppressAutoHyphens/>
        <w:overflowPunct w:val="0"/>
        <w:autoSpaceDE w:val="0"/>
        <w:ind w:left="0" w:firstLine="0"/>
        <w:textAlignment w:val="baseline"/>
        <w:rPr>
          <w:rFonts w:ascii="Calibri" w:hAnsi="Calibri"/>
          <w:noProof/>
          <w:szCs w:val="22"/>
        </w:rPr>
      </w:pPr>
    </w:p>
    <w:p w:rsidR="001A793B"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2.</w:t>
      </w:r>
      <w:r w:rsidR="008E7F98">
        <w:rPr>
          <w:rFonts w:ascii="Calibri" w:hAnsi="Calibri"/>
          <w:noProof/>
          <w:szCs w:val="22"/>
        </w:rPr>
        <w:t>8</w:t>
      </w:r>
      <w:r w:rsidRPr="00092AF7">
        <w:rPr>
          <w:rFonts w:ascii="Calibri" w:hAnsi="Calibri"/>
          <w:noProof/>
          <w:szCs w:val="22"/>
        </w:rPr>
        <w:t xml:space="preserve"> </w:t>
      </w:r>
      <w:r>
        <w:rPr>
          <w:rFonts w:ascii="Calibri" w:hAnsi="Calibri"/>
          <w:noProof/>
          <w:szCs w:val="22"/>
        </w:rPr>
        <w:t xml:space="preserve">     </w:t>
      </w:r>
      <w:r w:rsidRPr="00092AF7">
        <w:rPr>
          <w:rFonts w:ascii="Calibri" w:hAnsi="Calibri"/>
          <w:noProof/>
          <w:szCs w:val="22"/>
        </w:rPr>
        <w:t xml:space="preserve">Zhotovitel před zahájením prací vypracuje harmonogram výměny </w:t>
      </w:r>
      <w:r w:rsidR="0009507E">
        <w:rPr>
          <w:rFonts w:ascii="Calibri" w:hAnsi="Calibri"/>
          <w:noProof/>
          <w:szCs w:val="22"/>
        </w:rPr>
        <w:t>výkladců</w:t>
      </w:r>
      <w:r w:rsidR="005F13D0" w:rsidRPr="005F13D0">
        <w:rPr>
          <w:rFonts w:ascii="Calibri" w:hAnsi="Calibri"/>
          <w:noProof/>
          <w:szCs w:val="22"/>
        </w:rPr>
        <w:t xml:space="preserve"> a předloží jej</w:t>
      </w:r>
    </w:p>
    <w:p w:rsidR="00D378F8" w:rsidRDefault="001A793B" w:rsidP="005F13D0">
      <w:pPr>
        <w:widowControl w:val="0"/>
        <w:suppressAutoHyphens/>
        <w:overflowPunct w:val="0"/>
        <w:autoSpaceDE w:val="0"/>
        <w:ind w:left="0" w:firstLine="0"/>
        <w:textAlignment w:val="baseline"/>
        <w:rPr>
          <w:rFonts w:ascii="Calibri" w:hAnsi="Calibri"/>
        </w:rPr>
      </w:pPr>
      <w:r>
        <w:rPr>
          <w:rFonts w:ascii="Calibri" w:hAnsi="Calibri"/>
          <w:noProof/>
          <w:szCs w:val="22"/>
        </w:rPr>
        <w:t xml:space="preserve">           </w:t>
      </w:r>
      <w:r w:rsidR="005F13D0" w:rsidRPr="005F13D0">
        <w:rPr>
          <w:rFonts w:ascii="Calibri" w:hAnsi="Calibri"/>
          <w:noProof/>
          <w:szCs w:val="22"/>
        </w:rPr>
        <w:t xml:space="preserve"> objednateli k</w:t>
      </w:r>
      <w:r w:rsidR="00245B8E">
        <w:rPr>
          <w:rFonts w:ascii="Calibri" w:hAnsi="Calibri"/>
          <w:noProof/>
          <w:szCs w:val="22"/>
        </w:rPr>
        <w:t xml:space="preserve">  </w:t>
      </w:r>
      <w:r w:rsidR="005F13D0" w:rsidRPr="005F13D0">
        <w:rPr>
          <w:rFonts w:ascii="Calibri" w:hAnsi="Calibri"/>
          <w:noProof/>
          <w:szCs w:val="22"/>
        </w:rPr>
        <w:t>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8E7F98">
        <w:rPr>
          <w:rFonts w:ascii="Calibri" w:hAnsi="Calibri" w:cs="Times New Roman"/>
          <w:sz w:val="22"/>
          <w:szCs w:val="22"/>
        </w:rPr>
        <w:t>9</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0</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j</w:t>
      </w:r>
      <w:r w:rsidR="0009507E">
        <w:rPr>
          <w:rFonts w:ascii="Calibri" w:hAnsi="Calibri" w:cs="Times New Roman"/>
          <w:sz w:val="22"/>
          <w:szCs w:val="22"/>
        </w:rPr>
        <w:t xml:space="preserve">sou kancelářské prostory </w:t>
      </w:r>
      <w:r w:rsidR="0009507E" w:rsidRPr="0009507E">
        <w:rPr>
          <w:rFonts w:ascii="Calibri" w:hAnsi="Calibri" w:cs="Times New Roman"/>
          <w:sz w:val="22"/>
          <w:szCs w:val="22"/>
        </w:rPr>
        <w:t>výkladce v domě na ul. Tyršova 1761/14 v Moravské Ostravě</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1</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CE5D08"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6967C4">
        <w:rPr>
          <w:rFonts w:ascii="Calibri" w:hAnsi="Calibri" w:cs="Times New Roman"/>
          <w:sz w:val="22"/>
          <w:szCs w:val="22"/>
        </w:rPr>
        <w:t>1</w:t>
      </w:r>
      <w:r w:rsidR="008E7F98">
        <w:rPr>
          <w:rFonts w:ascii="Calibri" w:hAnsi="Calibri" w:cs="Times New Roman"/>
          <w:sz w:val="22"/>
          <w:szCs w:val="22"/>
        </w:rPr>
        <w:t>2</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09507E" w:rsidRPr="0009507E">
        <w:rPr>
          <w:rFonts w:ascii="Calibri" w:hAnsi="Calibri" w:cs="Times New Roman"/>
          <w:b/>
          <w:sz w:val="22"/>
          <w:szCs w:val="22"/>
        </w:rPr>
        <w:t>Výměna výkladců v domě na ul. Tyršova 1761/14 v Moravské Ostravě</w:t>
      </w:r>
      <w:r w:rsidRPr="007110E0">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p>
    <w:p w:rsidR="00740117" w:rsidRDefault="00CE5D08"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40117" w:rsidRPr="003F1973">
        <w:rPr>
          <w:rFonts w:ascii="Calibri" w:hAnsi="Calibri" w:cs="Times New Roman"/>
          <w:sz w:val="22"/>
          <w:szCs w:val="22"/>
        </w:rPr>
        <w:t>Zadávací</w:t>
      </w:r>
      <w:r>
        <w:rPr>
          <w:rFonts w:ascii="Calibri" w:hAnsi="Calibri" w:cs="Times New Roman"/>
          <w:sz w:val="22"/>
          <w:szCs w:val="22"/>
        </w:rPr>
        <w:t xml:space="preserve"> </w:t>
      </w:r>
      <w:r w:rsidR="00740117" w:rsidRPr="003F1973">
        <w:rPr>
          <w:rFonts w:ascii="Calibri" w:hAnsi="Calibri" w:cs="Times New Roman"/>
          <w:sz w:val="22"/>
          <w:szCs w:val="22"/>
        </w:rPr>
        <w:t>podmínky</w:t>
      </w:r>
      <w:r>
        <w:rPr>
          <w:rFonts w:ascii="Calibri" w:hAnsi="Calibri" w:cs="Times New Roman"/>
          <w:sz w:val="22"/>
          <w:szCs w:val="22"/>
        </w:rPr>
        <w:t xml:space="preserve"> </w:t>
      </w:r>
      <w:r w:rsidR="00740117">
        <w:rPr>
          <w:rFonts w:ascii="Calibri" w:hAnsi="Calibri" w:cs="Times New Roman"/>
          <w:sz w:val="22"/>
          <w:szCs w:val="22"/>
        </w:rPr>
        <w:t>dle zadávací</w:t>
      </w:r>
      <w:r w:rsidR="001D3B28">
        <w:rPr>
          <w:rFonts w:ascii="Calibri" w:hAnsi="Calibri" w:cs="Times New Roman"/>
          <w:sz w:val="22"/>
          <w:szCs w:val="22"/>
        </w:rPr>
        <w:t xml:space="preserve"> </w:t>
      </w:r>
      <w:r w:rsidR="00740117">
        <w:rPr>
          <w:rFonts w:ascii="Calibri" w:hAnsi="Calibri" w:cs="Times New Roman"/>
          <w:sz w:val="22"/>
          <w:szCs w:val="22"/>
        </w:rPr>
        <w:t>dokumentace</w:t>
      </w:r>
      <w:r>
        <w:rPr>
          <w:rFonts w:ascii="Calibri" w:hAnsi="Calibri" w:cs="Times New Roman"/>
          <w:sz w:val="22"/>
          <w:szCs w:val="22"/>
        </w:rPr>
        <w:t xml:space="preserve"> </w:t>
      </w:r>
      <w:r w:rsidR="00740117">
        <w:rPr>
          <w:rFonts w:ascii="Calibri" w:hAnsi="Calibri" w:cs="Times New Roman"/>
          <w:sz w:val="22"/>
          <w:szCs w:val="22"/>
        </w:rPr>
        <w:t>k uvedenému zadávacímu řízení</w:t>
      </w:r>
      <w:r w:rsidR="00740117" w:rsidRPr="003F1973">
        <w:rPr>
          <w:rFonts w:ascii="Calibri" w:hAnsi="Calibri" w:cs="Times New Roman"/>
          <w:sz w:val="22"/>
          <w:szCs w:val="22"/>
        </w:rPr>
        <w:t xml:space="preserve">, jakož i další podmínky </w:t>
      </w:r>
      <w:r w:rsidR="00740117" w:rsidRPr="003F1973">
        <w:rPr>
          <w:rFonts w:ascii="Calibri" w:hAnsi="Calibri" w:cs="Times New Roman"/>
          <w:sz w:val="22"/>
          <w:szCs w:val="22"/>
        </w:rPr>
        <w:lastRenderedPageBreak/>
        <w:t>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81D0B" w:rsidRDefault="00C829F3" w:rsidP="00C829F3">
      <w:pPr>
        <w:pStyle w:val="Normln1"/>
        <w:ind w:left="1843" w:hanging="1559"/>
        <w:jc w:val="both"/>
        <w:rPr>
          <w:rFonts w:ascii="Calibri" w:hAnsi="Calibri" w:cs="Calibri"/>
        </w:rPr>
      </w:pPr>
      <w:r w:rsidRPr="00C829F3">
        <w:drawing>
          <wp:inline distT="0" distB="0" distL="0" distR="0" wp14:anchorId="3797503C" wp14:editId="42EDDAAC">
            <wp:extent cx="6236898" cy="376974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5346" cy="3774850"/>
                    </a:xfrm>
                    <a:prstGeom prst="rect">
                      <a:avLst/>
                    </a:prstGeom>
                    <a:noFill/>
                    <a:ln>
                      <a:noFill/>
                    </a:ln>
                  </pic:spPr>
                </pic:pic>
              </a:graphicData>
            </a:graphic>
          </wp:inline>
        </w:drawing>
      </w:r>
    </w:p>
    <w:p w:rsidR="00C829F3" w:rsidRDefault="00C829F3"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p>
    <w:p w:rsidR="005631F8" w:rsidRDefault="00D378F8" w:rsidP="00C829F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3846C4">
        <w:rPr>
          <w:rFonts w:ascii="Calibri" w:hAnsi="Calibri"/>
          <w:sz w:val="22"/>
          <w:szCs w:val="22"/>
        </w:rPr>
        <w:t>12</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lastRenderedPageBreak/>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8046AE">
        <w:rPr>
          <w:rFonts w:ascii="Calibri" w:hAnsi="Calibri"/>
          <w:szCs w:val="22"/>
        </w:rPr>
        <w:t> tabulce č</w:t>
      </w:r>
      <w:r w:rsidR="007F26D7">
        <w:rPr>
          <w:rFonts w:ascii="Calibri" w:hAnsi="Calibri"/>
          <w:szCs w:val="22"/>
        </w:rPr>
        <w:t>.</w:t>
      </w:r>
      <w:r w:rsidR="0008383F">
        <w:rPr>
          <w:rFonts w:ascii="Calibri" w:hAnsi="Calibri"/>
          <w:szCs w:val="22"/>
        </w:rPr>
        <w:t xml:space="preserve"> </w:t>
      </w:r>
      <w:r w:rsidR="007F26D7">
        <w:rPr>
          <w:rFonts w:ascii="Calibri" w:hAnsi="Calibri"/>
          <w:szCs w:val="22"/>
        </w:rPr>
        <w:t>1</w:t>
      </w:r>
      <w:r w:rsidR="008046AE">
        <w:rPr>
          <w:rFonts w:ascii="Calibri" w:hAnsi="Calibri"/>
          <w:szCs w:val="22"/>
        </w:rPr>
        <w:t xml:space="preserve"> požadovaná specifikace prací,</w:t>
      </w:r>
      <w:r w:rsidR="007F26D7">
        <w:rPr>
          <w:rFonts w:ascii="Calibri" w:hAnsi="Calibri"/>
          <w:szCs w:val="22"/>
        </w:rPr>
        <w:t xml:space="preserve"> </w:t>
      </w:r>
      <w:r w:rsidR="003846C4" w:rsidRPr="003846C4">
        <w:rPr>
          <w:rFonts w:ascii="Calibri" w:hAnsi="Calibri"/>
          <w:szCs w:val="22"/>
        </w:rPr>
        <w:t>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5F13D0" w:rsidRDefault="005F13D0" w:rsidP="005169AA">
      <w:pPr>
        <w:pStyle w:val="BodyText21"/>
        <w:widowControl/>
        <w:spacing w:line="228" w:lineRule="auto"/>
        <w:ind w:left="1418" w:hanging="851"/>
        <w:rPr>
          <w:rFonts w:ascii="Calibri" w:hAnsi="Calibri"/>
          <w:szCs w:val="22"/>
          <w:lang w:eastAsia="cs-CZ"/>
        </w:rPr>
      </w:pPr>
    </w:p>
    <w:p w:rsidR="006D45B5"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7F08FF" w:rsidRDefault="00FC5926" w:rsidP="00CE5D08">
      <w:pPr>
        <w:pStyle w:val="Zkladntext2"/>
        <w:widowControl w:val="0"/>
        <w:suppressAutoHyphens/>
        <w:overflowPunct w:val="0"/>
        <w:autoSpaceDE w:val="0"/>
        <w:spacing w:after="0" w:line="240" w:lineRule="auto"/>
        <w:textAlignment w:val="baseline"/>
      </w:pPr>
      <w:proofErr w:type="gramStart"/>
      <w:r w:rsidRPr="00190523">
        <w:t>4.1.</w:t>
      </w:r>
      <w:r w:rsidR="00785B13" w:rsidRPr="00190523">
        <w:t>1</w:t>
      </w:r>
      <w:r w:rsidR="0077725B" w:rsidRPr="00190523">
        <w:t xml:space="preserve">  </w:t>
      </w:r>
      <w:r w:rsidR="00CE5D08" w:rsidRPr="00CE5D08">
        <w:t>Termín</w:t>
      </w:r>
      <w:proofErr w:type="gramEnd"/>
      <w:r w:rsidR="00CE5D08" w:rsidRPr="00CE5D08">
        <w:t xml:space="preserve"> provedení díla: </w:t>
      </w:r>
      <w:r w:rsidR="007F08FF">
        <w:t>30</w:t>
      </w:r>
      <w:r w:rsidR="00CE5D08" w:rsidRPr="00CE5D08">
        <w:t xml:space="preserve"> kalendářních dnů od předání a převzetí staveniště</w:t>
      </w:r>
      <w:r w:rsidR="007F08FF">
        <w:t xml:space="preserve"> (samotná výměna</w:t>
      </w:r>
    </w:p>
    <w:p w:rsidR="007F08FF" w:rsidRDefault="007F08FF" w:rsidP="00CE5D08">
      <w:pPr>
        <w:pStyle w:val="Zkladntext2"/>
        <w:widowControl w:val="0"/>
        <w:suppressAutoHyphens/>
        <w:overflowPunct w:val="0"/>
        <w:autoSpaceDE w:val="0"/>
        <w:spacing w:after="0" w:line="240" w:lineRule="auto"/>
        <w:textAlignment w:val="baseline"/>
      </w:pPr>
      <w:r>
        <w:t xml:space="preserve">            výkladců bude probíhat maximálně 1 pracovní den dle vzájemně odsouhlaseného harmonogramu</w:t>
      </w:r>
    </w:p>
    <w:p w:rsidR="00C72A7B" w:rsidRDefault="007F08FF" w:rsidP="00CE5D08">
      <w:pPr>
        <w:pStyle w:val="Zkladntext2"/>
        <w:widowControl w:val="0"/>
        <w:suppressAutoHyphens/>
        <w:overflowPunct w:val="0"/>
        <w:autoSpaceDE w:val="0"/>
        <w:spacing w:after="0" w:line="240" w:lineRule="auto"/>
        <w:textAlignment w:val="baseline"/>
      </w:pPr>
      <w:r>
        <w:t xml:space="preserve">            prací). </w:t>
      </w:r>
    </w:p>
    <w:p w:rsidR="00CE5D08" w:rsidRPr="00190523" w:rsidRDefault="00CE5D08" w:rsidP="00CE5D08">
      <w:pPr>
        <w:pStyle w:val="Zkladntext2"/>
        <w:widowControl w:val="0"/>
        <w:suppressAutoHyphens/>
        <w:overflowPunct w:val="0"/>
        <w:autoSpaceDE w:val="0"/>
        <w:spacing w:after="0" w:line="240" w:lineRule="auto"/>
        <w:textAlignment w:val="baseline"/>
      </w:pPr>
    </w:p>
    <w:p w:rsidR="004F4566" w:rsidRDefault="00FC5926" w:rsidP="00D0208C">
      <w:pPr>
        <w:pStyle w:val="Zkladntext2"/>
        <w:widowControl w:val="0"/>
        <w:suppressAutoHyphens/>
        <w:overflowPunct w:val="0"/>
        <w:autoSpaceDE w:val="0"/>
        <w:spacing w:after="0" w:line="240" w:lineRule="auto"/>
        <w:ind w:left="1134" w:hanging="1134"/>
        <w:textAlignment w:val="baseline"/>
      </w:pPr>
      <w:proofErr w:type="gramStart"/>
      <w:r w:rsidRPr="00190523">
        <w:t>4.1.</w:t>
      </w:r>
      <w:r w:rsidR="00785B13" w:rsidRPr="00190523">
        <w:t>2</w:t>
      </w:r>
      <w:r w:rsidR="00C72A7B" w:rsidRPr="00190523">
        <w:t xml:space="preserve">  </w:t>
      </w:r>
      <w:r w:rsidR="0065485C">
        <w:t>Předpokládaný</w:t>
      </w:r>
      <w:proofErr w:type="gramEnd"/>
      <w:r w:rsidR="0065485C">
        <w:t xml:space="preserve"> termín předání staveniště a zahájení prací: </w:t>
      </w:r>
      <w:r w:rsidR="007F08FF">
        <w:t>září</w:t>
      </w:r>
      <w:r w:rsidR="00EC27CB">
        <w:t xml:space="preserve">/říjen </w:t>
      </w:r>
      <w:r w:rsidR="0065485C">
        <w:t>201</w:t>
      </w:r>
      <w:r w:rsidR="00AC2365">
        <w:t>8</w:t>
      </w:r>
      <w:r w:rsidR="004F4566">
        <w:t>.</w:t>
      </w:r>
    </w:p>
    <w:p w:rsidR="00D378F8" w:rsidRPr="00C72A7B" w:rsidRDefault="004F4566" w:rsidP="004F4566">
      <w:pPr>
        <w:pStyle w:val="Zkladntext2"/>
        <w:widowControl w:val="0"/>
        <w:suppressAutoHyphens/>
        <w:overflowPunct w:val="0"/>
        <w:autoSpaceDE w:val="0"/>
        <w:spacing w:after="0"/>
        <w:textAlignment w:val="baseline"/>
      </w:pPr>
      <w:r>
        <w:t xml:space="preserve">           Z</w:t>
      </w:r>
      <w:r w:rsidR="0065485C">
        <w:t>hotovitel je povinen staveniště převzít do tří dnů od výzvy objednatele k převzetí staveniště.</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08383F">
        <w:rPr>
          <w:rFonts w:ascii="Calibri" w:hAnsi="Calibri" w:cs="Times New Roman"/>
          <w:sz w:val="22"/>
          <w:szCs w:val="22"/>
        </w:rPr>
        <w:t>1</w:t>
      </w:r>
      <w:r w:rsidR="00DB6A58">
        <w:rPr>
          <w:rFonts w:ascii="Calibri" w:hAnsi="Calibri" w:cs="Times New Roman"/>
          <w:sz w:val="22"/>
          <w:szCs w:val="22"/>
        </w:rPr>
        <w:t>2</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9E1112" w:rsidRPr="007F08FF" w:rsidRDefault="00FC5926" w:rsidP="009E1112">
      <w:pPr>
        <w:pStyle w:val="Normln1"/>
        <w:numPr>
          <w:ilvl w:val="0"/>
          <w:numId w:val="18"/>
        </w:numPr>
        <w:tabs>
          <w:tab w:val="left" w:pos="435"/>
        </w:tabs>
        <w:jc w:val="both"/>
        <w:textAlignment w:val="baseline"/>
        <w:rPr>
          <w:rFonts w:ascii="Calibri" w:hAnsi="Calibri"/>
        </w:rPr>
      </w:pPr>
      <w:r w:rsidRPr="007F08FF">
        <w:rPr>
          <w:rFonts w:ascii="Calibri" w:hAnsi="Calibri"/>
        </w:rPr>
        <w:t>případné projednání a schválení trasy staveništní dopravy u Policie České republiky, dopravní inspektorát</w:t>
      </w:r>
      <w:r w:rsidR="00192E20" w:rsidRPr="007F08FF">
        <w:rPr>
          <w:rFonts w:ascii="Calibri" w:hAnsi="Calibri"/>
        </w:rPr>
        <w:t>,</w:t>
      </w:r>
    </w:p>
    <w:p w:rsidR="00DB6A58" w:rsidRPr="00DB6A58" w:rsidRDefault="009E1112" w:rsidP="00DB6A58">
      <w:pPr>
        <w:pStyle w:val="Normln1"/>
        <w:numPr>
          <w:ilvl w:val="0"/>
          <w:numId w:val="18"/>
        </w:numPr>
        <w:jc w:val="both"/>
        <w:textAlignment w:val="baseline"/>
        <w:rPr>
          <w:rFonts w:ascii="Calibri" w:hAnsi="Calibri"/>
        </w:rPr>
      </w:pPr>
      <w:r w:rsidRPr="00DB6A58">
        <w:rPr>
          <w:rFonts w:ascii="Calibri" w:hAnsi="Calibri"/>
        </w:rPr>
        <w:t>projednání technicko-provozní organizace akce a dopady na byty (koordinace, projednání s</w:t>
      </w:r>
      <w:r w:rsidR="00A131CA" w:rsidRPr="00DB6A58">
        <w:rPr>
          <w:rFonts w:ascii="Calibri" w:hAnsi="Calibri"/>
        </w:rPr>
        <w:t xml:space="preserve"> objednatelem</w:t>
      </w:r>
      <w:r w:rsidRPr="00DB6A58">
        <w:rPr>
          <w:rFonts w:ascii="Calibri" w:hAnsi="Calibri"/>
        </w:rPr>
        <w:t xml:space="preserve"> a nájemníky, harmonogram stavby</w:t>
      </w:r>
      <w:r w:rsidR="00CD0617" w:rsidRPr="00DB6A58">
        <w:rPr>
          <w:rFonts w:ascii="Calibri" w:hAnsi="Calibri"/>
        </w:rPr>
        <w:t>, realizace musí probíhat s ohledem na nájemníky</w:t>
      </w:r>
      <w:r w:rsidRPr="00DB6A58">
        <w:rPr>
          <w:rFonts w:ascii="Calibri" w:hAnsi="Calibri"/>
        </w:rPr>
        <w:t>)</w:t>
      </w:r>
      <w:r w:rsidR="00DB6A58">
        <w:rPr>
          <w:rFonts w:ascii="Calibri" w:hAnsi="Calibri"/>
        </w:rPr>
        <w:t>,</w:t>
      </w:r>
    </w:p>
    <w:p w:rsidR="00DB6A58" w:rsidRPr="00393519" w:rsidRDefault="00DB6A58" w:rsidP="00DB6A58">
      <w:pPr>
        <w:pStyle w:val="Normln1"/>
        <w:numPr>
          <w:ilvl w:val="0"/>
          <w:numId w:val="18"/>
        </w:numPr>
        <w:jc w:val="both"/>
        <w:textAlignment w:val="baseline"/>
        <w:rPr>
          <w:rFonts w:ascii="Calibri" w:hAnsi="Calibri"/>
        </w:rPr>
      </w:pPr>
      <w:r>
        <w:rPr>
          <w:rFonts w:ascii="Calibri" w:hAnsi="Calibri"/>
        </w:rPr>
        <w:t>p</w:t>
      </w:r>
      <w:r w:rsidRPr="00DB6A58">
        <w:rPr>
          <w:rFonts w:ascii="Calibri" w:hAnsi="Calibri"/>
        </w:rPr>
        <w:t>rojednání technicko-provozní organizace akce a dopady na byty (koordinace, projednání s objednatelem a nájemníky, harmonogram stavby, realizace musí probíhat s ohledem na nájemníky). Provádění prací je možné pouze v pracovních dnech v pondělí až pátek v čase od 6:00 do 1</w:t>
      </w:r>
      <w:r w:rsidR="007F08FF">
        <w:rPr>
          <w:rFonts w:ascii="Calibri" w:hAnsi="Calibri"/>
        </w:rPr>
        <w:t>7</w:t>
      </w:r>
      <w:r w:rsidRPr="00DB6A58">
        <w:rPr>
          <w:rFonts w:ascii="Calibri" w:hAnsi="Calibri"/>
        </w:rPr>
        <w:t>:00 hodin.</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7A7E1E"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p>
    <w:p w:rsidR="007A7E1E" w:rsidRDefault="007A7E1E" w:rsidP="00767C6A">
      <w:pPr>
        <w:pStyle w:val="Normln1"/>
        <w:ind w:left="720"/>
        <w:jc w:val="both"/>
        <w:textAlignment w:val="baseline"/>
        <w:rPr>
          <w:rFonts w:ascii="Calibri" w:hAnsi="Calibri"/>
        </w:rPr>
      </w:pPr>
    </w:p>
    <w:p w:rsidR="00FC5926" w:rsidRDefault="00FC5926" w:rsidP="00767C6A">
      <w:pPr>
        <w:pStyle w:val="Normln1"/>
        <w:ind w:left="720"/>
        <w:jc w:val="both"/>
        <w:textAlignment w:val="baseline"/>
        <w:rPr>
          <w:rFonts w:ascii="Calibri" w:hAnsi="Calibri"/>
        </w:rPr>
      </w:pPr>
      <w:r w:rsidRPr="00767C6A">
        <w:rPr>
          <w:rFonts w:ascii="Calibri" w:hAnsi="Calibri"/>
        </w:rPr>
        <w:t xml:space="preserve">C)  </w:t>
      </w:r>
      <w:r w:rsidR="00CD0617" w:rsidRPr="00767C6A">
        <w:rPr>
          <w:rFonts w:ascii="Calibri" w:hAnsi="Calibri"/>
        </w:rPr>
        <w:t>P</w:t>
      </w:r>
      <w:r w:rsidRPr="00767C6A">
        <w:rPr>
          <w:rFonts w:ascii="Calibri" w:hAnsi="Calibri"/>
        </w:rPr>
        <w:t>ři přejímce realizovaného díla:</w:t>
      </w:r>
    </w:p>
    <w:p w:rsidR="007A7E1E" w:rsidRDefault="007A7E1E" w:rsidP="00767C6A">
      <w:pPr>
        <w:pStyle w:val="Normln1"/>
        <w:ind w:left="720"/>
        <w:jc w:val="both"/>
        <w:textAlignment w:val="baseline"/>
        <w:rPr>
          <w:rFonts w:ascii="Calibri" w:hAnsi="Calibri"/>
        </w:rPr>
      </w:pP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stavební deník v originále,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DB6A58" w:rsidRDefault="00DB6A58" w:rsidP="00DB6A58">
      <w:pPr>
        <w:numPr>
          <w:ilvl w:val="0"/>
          <w:numId w:val="32"/>
        </w:numPr>
        <w:autoSpaceDE w:val="0"/>
        <w:autoSpaceDN w:val="0"/>
        <w:adjustRightInd w:val="0"/>
        <w:ind w:left="993"/>
        <w:rPr>
          <w:rFonts w:ascii="Calibri" w:hAnsi="Calibri" w:cs="Arial"/>
        </w:rPr>
      </w:pPr>
      <w:r>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p>
    <w:p w:rsidR="007F08FF" w:rsidRPr="007F08FF" w:rsidRDefault="007F08FF" w:rsidP="007F08FF">
      <w:pPr>
        <w:numPr>
          <w:ilvl w:val="0"/>
          <w:numId w:val="32"/>
        </w:numPr>
        <w:autoSpaceDE w:val="0"/>
        <w:autoSpaceDN w:val="0"/>
        <w:adjustRightInd w:val="0"/>
        <w:ind w:left="993"/>
        <w:rPr>
          <w:rFonts w:ascii="Calibri" w:hAnsi="Calibri" w:cs="Arial"/>
        </w:rPr>
      </w:pPr>
      <w:r w:rsidRPr="007F08FF">
        <w:rPr>
          <w:rFonts w:ascii="Calibri" w:hAnsi="Calibri" w:cs="Arial"/>
        </w:rPr>
        <w:t>odebrané energie pro stavbu uhradí zhotovitel příslušnému správci dle svých podružných měřidel, případně dle dohodnutého paušálu,</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lastRenderedPageBreak/>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77725B">
        <w:rPr>
          <w:rFonts w:ascii="Calibri" w:hAnsi="Calibri" w:cs="Times New Roman"/>
          <w:sz w:val="22"/>
          <w:szCs w:val="22"/>
        </w:rPr>
        <w:t>příloha č.</w:t>
      </w:r>
      <w:r w:rsidR="00537529">
        <w:rPr>
          <w:rFonts w:ascii="Calibri" w:hAnsi="Calibri" w:cs="Times New Roman"/>
          <w:sz w:val="22"/>
          <w:szCs w:val="22"/>
        </w:rPr>
        <w:t xml:space="preserve"> </w:t>
      </w:r>
      <w:r w:rsidR="00451D55">
        <w:rPr>
          <w:rFonts w:ascii="Calibri" w:hAnsi="Calibri" w:cs="Times New Roman"/>
          <w:sz w:val="22"/>
          <w:szCs w:val="22"/>
        </w:rPr>
        <w:t>6</w:t>
      </w:r>
      <w:r w:rsidR="00E75C8C" w:rsidRPr="0077725B">
        <w:rPr>
          <w:rFonts w:ascii="Calibri" w:hAnsi="Calibri" w:cs="Times New Roman"/>
          <w:sz w:val="22"/>
          <w:szCs w:val="22"/>
        </w:rPr>
        <w:t>. V </w:t>
      </w:r>
      <w:r w:rsidRPr="0077725B">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w:t>
      </w:r>
      <w:r w:rsidR="00FC5926">
        <w:rPr>
          <w:rFonts w:ascii="Calibri" w:hAnsi="Calibri" w:cs="Times New Roman"/>
          <w:sz w:val="22"/>
          <w:szCs w:val="22"/>
        </w:rPr>
        <w:lastRenderedPageBreak/>
        <w:t xml:space="preserve">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w:t>
      </w:r>
      <w:r w:rsidR="00FC5926" w:rsidRPr="00EA6CA4">
        <w:rPr>
          <w:rFonts w:ascii="Calibri" w:hAnsi="Calibri"/>
          <w:szCs w:val="22"/>
        </w:rPr>
        <w:lastRenderedPageBreak/>
        <w:t>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lastRenderedPageBreak/>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38588C" w:rsidRDefault="0038588C" w:rsidP="0038588C">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41E69" w:rsidRDefault="00741E69"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sidR="00DB6A58">
        <w:rPr>
          <w:rFonts w:ascii="Calibri" w:hAnsi="Calibri" w:cs="Times New Roman"/>
          <w:sz w:val="22"/>
          <w:szCs w:val="22"/>
        </w:rPr>
        <w:t>2</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w:t>
      </w:r>
      <w:r w:rsidR="00DB6A58">
        <w:rPr>
          <w:rFonts w:ascii="Calibri" w:hAnsi="Calibri" w:cs="Times New Roman"/>
          <w:sz w:val="22"/>
          <w:szCs w:val="22"/>
        </w:rPr>
        <w:t>2</w:t>
      </w:r>
      <w:r w:rsidRPr="00C3717C">
        <w:rPr>
          <w:rFonts w:ascii="Calibri" w:hAnsi="Calibri" w:cs="Times New Roman"/>
          <w:sz w:val="22"/>
          <w:szCs w:val="22"/>
        </w:rPr>
        <w:t xml:space="preserve">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w:t>
      </w:r>
      <w:r>
        <w:rPr>
          <w:rFonts w:ascii="Calibri" w:hAnsi="Calibri" w:cs="Times New Roman"/>
          <w:sz w:val="22"/>
          <w:szCs w:val="22"/>
        </w:rPr>
        <w:lastRenderedPageBreak/>
        <w:t xml:space="preserve">ukončení a převzetí díla </w:t>
      </w:r>
      <w:r w:rsidR="0079605A">
        <w:rPr>
          <w:rFonts w:ascii="Calibri" w:hAnsi="Calibri" w:cs="Times New Roman"/>
          <w:sz w:val="22"/>
          <w:szCs w:val="22"/>
        </w:rPr>
        <w:t>1</w:t>
      </w:r>
      <w:r w:rsidR="00451D55">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sidR="00451D55">
        <w:rPr>
          <w:rFonts w:ascii="Calibri" w:hAnsi="Calibri" w:cs="Times New Roman"/>
          <w:sz w:val="22"/>
          <w:szCs w:val="22"/>
        </w:rPr>
        <w:t>.</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00451D55">
        <w:rPr>
          <w:rFonts w:ascii="Calibri" w:hAnsi="Calibri" w:cs="Times New Roman"/>
          <w:sz w:val="22"/>
          <w:szCs w:val="22"/>
        </w:rPr>
        <w:t>.</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35A0E" w:rsidRPr="00DE4DF7" w:rsidRDefault="00C35A0E" w:rsidP="00C35A0E">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5626E7" w:rsidRDefault="005626E7"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626E7" w:rsidRDefault="005626E7"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537529">
        <w:rPr>
          <w:rFonts w:ascii="Calibri" w:hAnsi="Calibri" w:cs="Times New Roman"/>
          <w:sz w:val="22"/>
          <w:szCs w:val="22"/>
        </w:rPr>
        <w:t>1.0</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BB58E0" w:rsidRDefault="00BB58E0"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Zhotovitel je povinen </w:t>
      </w:r>
      <w:r w:rsidR="00C35A0E">
        <w:rPr>
          <w:rFonts w:ascii="Calibri" w:hAnsi="Calibri"/>
          <w:sz w:val="22"/>
          <w:szCs w:val="22"/>
        </w:rPr>
        <w:t xml:space="preserve">seřídit všechna okna na základě výzvy objednatele </w:t>
      </w:r>
      <w:r>
        <w:rPr>
          <w:rFonts w:ascii="Calibri" w:hAnsi="Calibri"/>
          <w:sz w:val="22"/>
          <w:szCs w:val="22"/>
        </w:rPr>
        <w:t>v</w:t>
      </w:r>
      <w:r w:rsidR="00C35A0E">
        <w:rPr>
          <w:rFonts w:ascii="Calibri" w:hAnsi="Calibri"/>
          <w:sz w:val="22"/>
          <w:szCs w:val="22"/>
        </w:rPr>
        <w:t> </w:t>
      </w:r>
      <w:r>
        <w:rPr>
          <w:rFonts w:ascii="Calibri" w:hAnsi="Calibri"/>
          <w:sz w:val="22"/>
          <w:szCs w:val="22"/>
        </w:rPr>
        <w:t>termínu</w:t>
      </w:r>
      <w:r w:rsidR="00C35A0E">
        <w:rPr>
          <w:rFonts w:ascii="Calibri" w:hAnsi="Calibri"/>
          <w:sz w:val="22"/>
          <w:szCs w:val="22"/>
        </w:rPr>
        <w:t xml:space="preserve"> do 6 měsíců po předání díla. </w:t>
      </w:r>
      <w:r>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 xml:space="preserve">při jednání o této smlouvě ani projev učiněný po uzavření této smlouvy nesmí být vykládán v </w:t>
      </w:r>
      <w:r w:rsidRPr="008A3F74">
        <w:rPr>
          <w:rFonts w:ascii="Calibri" w:hAnsi="Calibri"/>
          <w:sz w:val="22"/>
          <w:szCs w:val="22"/>
        </w:rPr>
        <w:lastRenderedPageBreak/>
        <w:t>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15.</w:t>
      </w:r>
      <w:r w:rsidR="00AC2365">
        <w:rPr>
          <w:rFonts w:ascii="Calibri" w:hAnsi="Calibri" w:cs="Times New Roman"/>
          <w:sz w:val="22"/>
          <w:szCs w:val="22"/>
        </w:rPr>
        <w:t xml:space="preserve"> </w:t>
      </w:r>
      <w:r w:rsidR="00C45211" w:rsidRPr="00D70311">
        <w:rPr>
          <w:rFonts w:ascii="Calibri" w:hAnsi="Calibri" w:cs="Times New Roman"/>
          <w:sz w:val="22"/>
          <w:szCs w:val="22"/>
        </w:rPr>
        <w:t>12.</w:t>
      </w:r>
      <w:r w:rsidR="00AC2365">
        <w:rPr>
          <w:rFonts w:ascii="Calibri" w:hAnsi="Calibri" w:cs="Times New Roman"/>
          <w:sz w:val="22"/>
          <w:szCs w:val="22"/>
        </w:rPr>
        <w:t xml:space="preserve"> </w:t>
      </w:r>
      <w:r w:rsidR="00C45211" w:rsidRPr="00D70311">
        <w:rPr>
          <w:rFonts w:ascii="Calibri" w:hAnsi="Calibri" w:cs="Times New Roman"/>
          <w:sz w:val="22"/>
          <w:szCs w:val="22"/>
        </w:rPr>
        <w:t>2016</w:t>
      </w:r>
      <w:r w:rsidR="00F81C52" w:rsidRPr="00D70311">
        <w:rPr>
          <w:rFonts w:ascii="Calibri" w:hAnsi="Calibri" w:cs="Times New Roman"/>
          <w:sz w:val="22"/>
          <w:szCs w:val="22"/>
        </w:rPr>
        <w:t xml:space="preserve"> </w:t>
      </w:r>
      <w:r w:rsidR="009D2F85">
        <w:rPr>
          <w:rFonts w:ascii="Calibri" w:hAnsi="Calibri" w:cs="Times New Roman"/>
          <w:sz w:val="22"/>
          <w:szCs w:val="22"/>
        </w:rPr>
        <w:t xml:space="preserve">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starostka</w:t>
      </w:r>
      <w:r w:rsidR="009D2F85">
        <w:rPr>
          <w:rFonts w:ascii="Calibri" w:hAnsi="Calibri" w:cs="Times New Roman"/>
          <w:sz w:val="22"/>
          <w:szCs w:val="22"/>
        </w:rPr>
        <w:t>.</w:t>
      </w:r>
    </w:p>
    <w:p w:rsidR="005626E7" w:rsidRDefault="005626E7" w:rsidP="005626E7">
      <w:pPr>
        <w:rPr>
          <w:rFonts w:ascii="Calibri" w:hAnsi="Calibri" w:cs="Arial"/>
          <w:b/>
          <w:szCs w:val="22"/>
        </w:rPr>
      </w:pPr>
    </w:p>
    <w:p w:rsidR="005626E7" w:rsidRDefault="005626E7" w:rsidP="005626E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č.1:</w:t>
      </w:r>
      <w:proofErr w:type="gramEnd"/>
      <w:r>
        <w:rPr>
          <w:rFonts w:ascii="Calibri" w:hAnsi="Calibri" w:cs="Arial"/>
          <w:b/>
          <w:szCs w:val="22"/>
        </w:rPr>
        <w:t xml:space="preserve"> </w:t>
      </w:r>
      <w:r w:rsidRPr="005626E7">
        <w:rPr>
          <w:rFonts w:ascii="Calibri" w:hAnsi="Calibri" w:cs="Arial"/>
          <w:b/>
          <w:szCs w:val="22"/>
        </w:rPr>
        <w:t>Pohledy výkladců z vnější strany</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5626E7">
        <w:rPr>
          <w:rFonts w:ascii="Calibri" w:hAnsi="Calibri" w:cs="Arial"/>
          <w:b/>
          <w:szCs w:val="22"/>
        </w:rPr>
        <w:t>2</w:t>
      </w:r>
      <w:r>
        <w:rPr>
          <w:rFonts w:ascii="Calibri" w:hAnsi="Calibri" w:cs="Arial"/>
          <w:b/>
          <w:szCs w:val="22"/>
        </w:rPr>
        <w:t>:</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5626E7">
        <w:rPr>
          <w:rFonts w:ascii="Calibri" w:hAnsi="Calibri" w:cs="Arial"/>
          <w:b/>
          <w:szCs w:val="22"/>
        </w:rPr>
        <w:t>3</w:t>
      </w:r>
      <w:r>
        <w:rPr>
          <w:rFonts w:ascii="Calibri" w:hAnsi="Calibri" w:cs="Arial"/>
          <w:b/>
          <w:szCs w:val="22"/>
        </w:rPr>
        <w:t>:</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502FA7" w:rsidRDefault="00502FA7" w:rsidP="00BB4B6F">
      <w:pPr>
        <w:rPr>
          <w:rFonts w:ascii="Calibri" w:hAnsi="Calibri"/>
          <w:szCs w:val="22"/>
        </w:rPr>
      </w:pPr>
      <w:r w:rsidRPr="00502FA7">
        <w:rPr>
          <w:rFonts w:ascii="Calibri" w:hAnsi="Calibri"/>
          <w:szCs w:val="22"/>
        </w:rPr>
        <w:t xml:space="preserve">Ing. Petra Bernfeldová </w:t>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r w:rsidR="00AC2365">
        <w:rPr>
          <w:rFonts w:ascii="Calibri" w:hAnsi="Calibri"/>
          <w:szCs w:val="22"/>
        </w:rPr>
        <w:tab/>
      </w:r>
    </w:p>
    <w:p w:rsidR="00502FA7" w:rsidRDefault="00502FA7" w:rsidP="00BB4B6F">
      <w:pPr>
        <w:rPr>
          <w:rFonts w:ascii="Calibri" w:hAnsi="Calibri"/>
          <w:szCs w:val="22"/>
        </w:rPr>
      </w:pPr>
      <w:proofErr w:type="gramStart"/>
      <w:r>
        <w:rPr>
          <w:rFonts w:ascii="Calibri" w:hAnsi="Calibri"/>
          <w:szCs w:val="22"/>
        </w:rPr>
        <w:t>s</w:t>
      </w:r>
      <w:r w:rsidR="007B1192">
        <w:rPr>
          <w:rFonts w:ascii="Calibri" w:hAnsi="Calibri"/>
          <w:szCs w:val="22"/>
        </w:rPr>
        <w:t>tarostka</w:t>
      </w:r>
      <w:proofErr w:type="gramEnd"/>
      <w:r w:rsidRPr="00502FA7">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bookmarkStart w:id="0" w:name="_GoBack"/>
      <w:bookmarkEnd w:id="0"/>
      <w:r w:rsidR="005626E7" w:rsidRPr="00EC27CB">
        <w:rPr>
          <w:rFonts w:ascii="Calibri" w:hAnsi="Calibri"/>
          <w:szCs w:val="22"/>
          <w:highlight w:val="yellow"/>
        </w:rPr>
        <w:t xml:space="preserve">vyplní </w:t>
      </w:r>
      <w:proofErr w:type="gramStart"/>
      <w:r w:rsidR="005626E7" w:rsidRPr="00EC27CB">
        <w:rPr>
          <w:rFonts w:ascii="Calibri" w:hAnsi="Calibri"/>
          <w:szCs w:val="22"/>
          <w:highlight w:val="yellow"/>
        </w:rPr>
        <w:t>zhotovitel</w:t>
      </w:r>
      <w:proofErr w:type="gramEnd"/>
    </w:p>
    <w:p w:rsidR="00D378F8" w:rsidRPr="008E58A9" w:rsidRDefault="00D349C3" w:rsidP="00BB4B6F">
      <w:pPr>
        <w:rPr>
          <w:rFonts w:ascii="Calibri" w:hAnsi="Calibri" w:cs="Arial"/>
          <w:b/>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sectPr w:rsidR="00D378F8" w:rsidRPr="008E58A9" w:rsidSect="001A7C29">
      <w:headerReference w:type="even" r:id="rId10"/>
      <w:headerReference w:type="default" r:id="rId11"/>
      <w:footerReference w:type="default" r:id="rId12"/>
      <w:headerReference w:type="first" r:id="rId13"/>
      <w:footerReference w:type="first" r:id="rId14"/>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11" w:rsidRDefault="00DA6211">
      <w:r>
        <w: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endnote>
  <w:endnote w:type="continuationSeparator" w:id="0">
    <w:p w:rsidR="00DA6211" w:rsidRDefault="00DA6211">
      <w:r>
        <w:continuation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BB4B6F">
    <w:pPr>
      <w:pStyle w:val="Zpat"/>
      <w:tabs>
        <w:tab w:val="clear" w:pos="4536"/>
        <w:tab w:val="clear" w:pos="9072"/>
        <w:tab w:val="left" w:pos="1418"/>
        <w:tab w:val="center" w:pos="14220"/>
      </w:tabs>
      <w:spacing w:line="240" w:lineRule="exact"/>
      <w:rPr>
        <w:rStyle w:val="slostrnky"/>
        <w:rFonts w:cs="Arial"/>
        <w:b w:val="0"/>
        <w:kern w:val="24"/>
      </w:rPr>
    </w:pPr>
  </w:p>
  <w:p w:rsidR="00DA6211" w:rsidRDefault="00DA6211"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18C7293B" wp14:editId="2B857EEF">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C27CB">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C27CB">
      <w:rPr>
        <w:rStyle w:val="slostrnky"/>
        <w:rFonts w:cs="Arial"/>
        <w:b w:val="0"/>
        <w:noProof/>
        <w:kern w:val="24"/>
      </w:rPr>
      <w:t>13</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DA6211" w:rsidRDefault="00DA6211"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52E2A89E" wp14:editId="5C6B9D53">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EC27CB">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EC27CB">
      <w:rPr>
        <w:rStyle w:val="slostrnky"/>
        <w:rFonts w:cs="Arial"/>
        <w:b w:val="0"/>
        <w:noProof/>
        <w:kern w:val="24"/>
      </w:rPr>
      <w:t>1</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11" w:rsidRDefault="00DA6211">
      <w:r>
        <w: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footnote>
  <w:footnote w:type="continuationSeparator" w:id="0">
    <w:p w:rsidR="00DA6211" w:rsidRDefault="00DA6211">
      <w:r>
        <w:continuationSeparator/>
      </w:r>
    </w:p>
    <w:p w:rsidR="00DA6211" w:rsidRDefault="00DA6211"/>
    <w:p w:rsidR="00DA6211" w:rsidRDefault="00DA6211" w:rsidP="003A4FAD"/>
    <w:p w:rsidR="00DA6211" w:rsidRDefault="00DA6211"/>
    <w:p w:rsidR="00DA6211" w:rsidRDefault="00DA621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p w:rsidR="00DA6211" w:rsidRDefault="00DA6211"/>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BB4B6F"/>
  <w:p w:rsidR="00DA6211" w:rsidRDefault="00DA6211" w:rsidP="003A4FAD"/>
  <w:p w:rsidR="00DA6211" w:rsidRDefault="00DA6211" w:rsidP="003A4FAD"/>
  <w:p w:rsidR="00DA6211" w:rsidRDefault="00DA6211" w:rsidP="00103D31"/>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911049"/>
  <w:p w:rsidR="00DA6211" w:rsidRDefault="00DA6211" w:rsidP="00C338D6"/>
  <w:p w:rsidR="00DA6211" w:rsidRDefault="00DA6211"/>
  <w:p w:rsidR="00DA6211" w:rsidRDefault="00DA6211" w:rsidP="00F75207"/>
  <w:p w:rsidR="00DA6211" w:rsidRDefault="00DA6211" w:rsidP="00F75207"/>
  <w:p w:rsidR="00DA6211" w:rsidRDefault="00DA6211"/>
  <w:p w:rsidR="00DA6211" w:rsidRDefault="00DA6211"/>
  <w:p w:rsidR="00DA6211" w:rsidRDefault="00DA6211"/>
  <w:p w:rsidR="00DA6211" w:rsidRDefault="00DA6211" w:rsidP="008A2932"/>
  <w:p w:rsidR="00DA6211" w:rsidRDefault="00DA6211"/>
  <w:p w:rsidR="00DA6211" w:rsidRDefault="00DA6211" w:rsidP="00341130"/>
  <w:p w:rsidR="00DA6211" w:rsidRDefault="00DA6211"/>
  <w:p w:rsidR="00DA6211" w:rsidRDefault="00DA6211" w:rsidP="004D65EC"/>
  <w:p w:rsidR="00DA6211" w:rsidRDefault="00DA6211"/>
  <w:p w:rsidR="00DA6211" w:rsidRDefault="00DA6211" w:rsidP="00F0468D"/>
  <w:p w:rsidR="00DA6211" w:rsidRDefault="00DA6211" w:rsidP="00F0468D"/>
  <w:p w:rsidR="00DA6211" w:rsidRDefault="00DA6211" w:rsidP="00F0468D"/>
  <w:p w:rsidR="00DA6211" w:rsidRDefault="00DA6211" w:rsidP="00F24506"/>
  <w:p w:rsidR="00DA6211" w:rsidRDefault="00DA6211" w:rsidP="00F24506"/>
  <w:p w:rsidR="00DA6211" w:rsidRDefault="00DA6211" w:rsidP="00F24506"/>
  <w:p w:rsidR="00DA6211" w:rsidRDefault="00DA6211" w:rsidP="00F24506"/>
  <w:p w:rsidR="00DA6211" w:rsidRDefault="00DA6211" w:rsidP="00F24506"/>
  <w:p w:rsidR="00DA6211" w:rsidRDefault="00DA6211"/>
  <w:p w:rsidR="00DA6211" w:rsidRDefault="00DA6211" w:rsidP="002632B7"/>
  <w:p w:rsidR="00DA6211" w:rsidRDefault="00DA6211" w:rsidP="00BC5006"/>
  <w:p w:rsidR="00DA6211" w:rsidRDefault="00DA6211"/>
  <w:p w:rsidR="00DA6211" w:rsidRDefault="00DA6211"/>
  <w:p w:rsidR="00DA6211" w:rsidRDefault="00DA6211"/>
  <w:p w:rsidR="00DA6211" w:rsidRDefault="00DA6211" w:rsidP="006F2FCD"/>
  <w:p w:rsidR="00DA6211" w:rsidRDefault="00DA6211"/>
  <w:p w:rsidR="00DA6211" w:rsidRDefault="00DA6211"/>
  <w:p w:rsidR="00DA6211" w:rsidRDefault="00DA6211" w:rsidP="00642E62"/>
  <w:p w:rsidR="00DA6211" w:rsidRDefault="00DA6211"/>
  <w:p w:rsidR="00DA6211" w:rsidRDefault="00DA6211"/>
  <w:p w:rsidR="00DA6211" w:rsidRDefault="00DA6211"/>
  <w:p w:rsidR="00DA6211" w:rsidRDefault="00DA6211"/>
  <w:p w:rsidR="00DA6211" w:rsidRDefault="00DA6211"/>
  <w:p w:rsidR="00DA6211" w:rsidRDefault="00DA6211"/>
  <w:p w:rsidR="00DA6211" w:rsidRDefault="00DA6211" w:rsidP="00767C6A"/>
  <w:p w:rsidR="00DA6211" w:rsidRDefault="00DA6211" w:rsidP="00767C6A"/>
  <w:p w:rsidR="00DA6211" w:rsidRDefault="00DA6211" w:rsidP="00767C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Default="00DA6211" w:rsidP="00BB4B6F">
    <w:pPr>
      <w:pStyle w:val="Zhlav"/>
    </w:pPr>
    <w:r>
      <w:t>Statutární město Ostrava</w:t>
    </w:r>
    <w:r>
      <w:tab/>
      <w:t xml:space="preserve">                                                                                                                   </w:t>
    </w:r>
  </w:p>
  <w:p w:rsidR="00DA6211" w:rsidRPr="0054037B" w:rsidRDefault="00DA6211" w:rsidP="00BB4B6F">
    <w:pPr>
      <w:pStyle w:val="Zhlav"/>
      <w:rPr>
        <w:b/>
      </w:rPr>
    </w:pPr>
    <w:r>
      <w:rPr>
        <w:b/>
      </w:rPr>
      <w:t>m</w:t>
    </w:r>
    <w:r w:rsidRPr="0054037B">
      <w:rPr>
        <w:b/>
      </w:rPr>
      <w:t>ěstský obvod Moravská Ostrava a Přívoz</w:t>
    </w:r>
    <w:r>
      <w:rPr>
        <w:b/>
      </w:rPr>
      <w:tab/>
    </w:r>
    <w:r>
      <w:rPr>
        <w:b/>
      </w:rPr>
      <w:tab/>
    </w:r>
    <w:r>
      <w:rPr>
        <w:rFonts w:cs="Arial"/>
        <w:b/>
        <w:color w:val="00ADD0"/>
        <w:sz w:val="28"/>
        <w:szCs w:val="28"/>
      </w:rPr>
      <w:t>Příloha č. 2 ZD</w:t>
    </w:r>
  </w:p>
  <w:p w:rsidR="00DA6211" w:rsidRDefault="00DA6211"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11" w:rsidRPr="00525018" w:rsidRDefault="00DA6211"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2 ZD</w:t>
    </w:r>
  </w:p>
  <w:p w:rsidR="00DA6211" w:rsidRPr="00525018" w:rsidRDefault="00DA6211" w:rsidP="00532EE5">
    <w:pPr>
      <w:pStyle w:val="Zhlav"/>
      <w:rPr>
        <w:b/>
      </w:rPr>
    </w:pPr>
    <w:r w:rsidRPr="00525018">
      <w:rPr>
        <w:b/>
      </w:rPr>
      <w:t>městský obvod Moravská Ostrava a Přívoz</w:t>
    </w:r>
  </w:p>
  <w:p w:rsidR="00DA6211" w:rsidRDefault="00DA6211"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3978"/>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83F"/>
    <w:rsid w:val="00083CAC"/>
    <w:rsid w:val="00085C6C"/>
    <w:rsid w:val="00090196"/>
    <w:rsid w:val="0009194B"/>
    <w:rsid w:val="00092AF7"/>
    <w:rsid w:val="00094081"/>
    <w:rsid w:val="0009507E"/>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93B"/>
    <w:rsid w:val="001A7C29"/>
    <w:rsid w:val="001B0CD8"/>
    <w:rsid w:val="001B2A8F"/>
    <w:rsid w:val="001B37A7"/>
    <w:rsid w:val="001C1AE5"/>
    <w:rsid w:val="001C31E8"/>
    <w:rsid w:val="001C5F7F"/>
    <w:rsid w:val="001C66EF"/>
    <w:rsid w:val="001C77D7"/>
    <w:rsid w:val="001C79D6"/>
    <w:rsid w:val="001D3B28"/>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B8E"/>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46C4"/>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1D55"/>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32C3"/>
    <w:rsid w:val="004F4566"/>
    <w:rsid w:val="004F5BEE"/>
    <w:rsid w:val="004F7AE0"/>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37529"/>
    <w:rsid w:val="0054037B"/>
    <w:rsid w:val="005422E5"/>
    <w:rsid w:val="0054327E"/>
    <w:rsid w:val="005442F6"/>
    <w:rsid w:val="00546205"/>
    <w:rsid w:val="00551145"/>
    <w:rsid w:val="00551889"/>
    <w:rsid w:val="00553F40"/>
    <w:rsid w:val="0055599A"/>
    <w:rsid w:val="005626E7"/>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1094"/>
    <w:rsid w:val="005D37DA"/>
    <w:rsid w:val="005D66A5"/>
    <w:rsid w:val="005E3E7C"/>
    <w:rsid w:val="005E4788"/>
    <w:rsid w:val="005E4F1F"/>
    <w:rsid w:val="005E512D"/>
    <w:rsid w:val="005E5172"/>
    <w:rsid w:val="005E7081"/>
    <w:rsid w:val="005F0AAB"/>
    <w:rsid w:val="005F13D0"/>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5D5"/>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7C4"/>
    <w:rsid w:val="00696B03"/>
    <w:rsid w:val="00696B58"/>
    <w:rsid w:val="006973F1"/>
    <w:rsid w:val="006979CD"/>
    <w:rsid w:val="00697C9A"/>
    <w:rsid w:val="006A479F"/>
    <w:rsid w:val="006A4E57"/>
    <w:rsid w:val="006A56FD"/>
    <w:rsid w:val="006B3E28"/>
    <w:rsid w:val="006B6688"/>
    <w:rsid w:val="006B6B15"/>
    <w:rsid w:val="006C2050"/>
    <w:rsid w:val="006C6D5B"/>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5D6"/>
    <w:rsid w:val="00791D6F"/>
    <w:rsid w:val="00793F83"/>
    <w:rsid w:val="0079605A"/>
    <w:rsid w:val="007A018B"/>
    <w:rsid w:val="007A1319"/>
    <w:rsid w:val="007A1EC1"/>
    <w:rsid w:val="007A2238"/>
    <w:rsid w:val="007A27E3"/>
    <w:rsid w:val="007A4427"/>
    <w:rsid w:val="007A45E6"/>
    <w:rsid w:val="007A666E"/>
    <w:rsid w:val="007A6BC8"/>
    <w:rsid w:val="007A6EFF"/>
    <w:rsid w:val="007A7E1E"/>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08FF"/>
    <w:rsid w:val="007F26D7"/>
    <w:rsid w:val="007F29FF"/>
    <w:rsid w:val="007F3B9B"/>
    <w:rsid w:val="007F3BA5"/>
    <w:rsid w:val="007F4794"/>
    <w:rsid w:val="007F49C5"/>
    <w:rsid w:val="007F4BDC"/>
    <w:rsid w:val="007F5B00"/>
    <w:rsid w:val="008046AE"/>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E7F98"/>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15B"/>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2365"/>
    <w:rsid w:val="00AC3303"/>
    <w:rsid w:val="00AC6ACA"/>
    <w:rsid w:val="00AD36D8"/>
    <w:rsid w:val="00AD6204"/>
    <w:rsid w:val="00AE0E46"/>
    <w:rsid w:val="00AE190B"/>
    <w:rsid w:val="00AE317C"/>
    <w:rsid w:val="00AE487E"/>
    <w:rsid w:val="00AF0971"/>
    <w:rsid w:val="00AF0AAC"/>
    <w:rsid w:val="00AF1C7D"/>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D0794"/>
    <w:rsid w:val="00BD46CF"/>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29F3"/>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1D09"/>
    <w:rsid w:val="00CC33CE"/>
    <w:rsid w:val="00CC4F99"/>
    <w:rsid w:val="00CC55B1"/>
    <w:rsid w:val="00CC55D7"/>
    <w:rsid w:val="00CC5DEA"/>
    <w:rsid w:val="00CD0617"/>
    <w:rsid w:val="00CD103F"/>
    <w:rsid w:val="00CD49C9"/>
    <w:rsid w:val="00CD63A5"/>
    <w:rsid w:val="00CD7158"/>
    <w:rsid w:val="00CE5D08"/>
    <w:rsid w:val="00CE6235"/>
    <w:rsid w:val="00CF26AA"/>
    <w:rsid w:val="00CF4813"/>
    <w:rsid w:val="00CF5803"/>
    <w:rsid w:val="00D0208C"/>
    <w:rsid w:val="00D03FD5"/>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0C7B"/>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211"/>
    <w:rsid w:val="00DA69C3"/>
    <w:rsid w:val="00DB5A35"/>
    <w:rsid w:val="00DB6A58"/>
    <w:rsid w:val="00DB729A"/>
    <w:rsid w:val="00DB7CD3"/>
    <w:rsid w:val="00DC1BC8"/>
    <w:rsid w:val="00DC3958"/>
    <w:rsid w:val="00DC5300"/>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4FCB"/>
    <w:rsid w:val="00E06D34"/>
    <w:rsid w:val="00E15500"/>
    <w:rsid w:val="00E171B6"/>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27C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747001227">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54545782">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19631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E7B3-0DF0-47E7-9F0D-2BDED07A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13</Pages>
  <Words>5093</Words>
  <Characters>30329</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59</cp:revision>
  <cp:lastPrinted>2018-04-04T06:55:00Z</cp:lastPrinted>
  <dcterms:created xsi:type="dcterms:W3CDTF">2017-01-24T09:13:00Z</dcterms:created>
  <dcterms:modified xsi:type="dcterms:W3CDTF">2018-08-13T13:51:00Z</dcterms:modified>
</cp:coreProperties>
</file>