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82039">
        <w:rPr>
          <w:rFonts w:ascii="Calibri" w:hAnsi="Calibri"/>
          <w:sz w:val="22"/>
          <w:szCs w:val="22"/>
        </w:rPr>
        <w:t xml:space="preserve">Ing. </w:t>
      </w:r>
      <w:r w:rsidR="00F65C94">
        <w:rPr>
          <w:rFonts w:ascii="Calibri" w:hAnsi="Calibri"/>
          <w:sz w:val="22"/>
          <w:szCs w:val="22"/>
        </w:rPr>
        <w:t>Stanislavem Blahutem</w:t>
      </w:r>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65C94" w:rsidRPr="00F65C94">
        <w:rPr>
          <w:rFonts w:ascii="Calibri" w:hAnsi="Calibri" w:cs="Arial"/>
          <w:b/>
          <w:szCs w:val="22"/>
        </w:rPr>
        <w:t>Obměna zastaralého klimatizačního systému</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922A7" w:rsidRDefault="00D378F8" w:rsidP="00D922A7">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D922A7">
        <w:rPr>
          <w:rFonts w:ascii="Calibri" w:hAnsi="Calibri"/>
          <w:szCs w:val="22"/>
        </w:rPr>
        <w:t xml:space="preserve">Dílo je rozděleno do </w:t>
      </w:r>
      <w:r w:rsidR="00436D60">
        <w:rPr>
          <w:rFonts w:ascii="Calibri" w:hAnsi="Calibri"/>
          <w:szCs w:val="22"/>
        </w:rPr>
        <w:t>třech</w:t>
      </w:r>
      <w:r w:rsidR="00297351">
        <w:rPr>
          <w:rFonts w:ascii="Calibri" w:hAnsi="Calibri"/>
          <w:szCs w:val="22"/>
        </w:rPr>
        <w:t xml:space="preserve"> samostatných</w:t>
      </w:r>
      <w:r w:rsidR="00D922A7">
        <w:rPr>
          <w:rFonts w:ascii="Calibri" w:hAnsi="Calibri"/>
          <w:szCs w:val="22"/>
        </w:rPr>
        <w:t xml:space="preserve"> dílčích částí, </w:t>
      </w:r>
      <w:r w:rsidR="00AB79A1">
        <w:rPr>
          <w:rFonts w:ascii="Calibri" w:hAnsi="Calibri"/>
          <w:szCs w:val="22"/>
        </w:rPr>
        <w:t xml:space="preserve">resp. </w:t>
      </w:r>
      <w:r w:rsidR="00436D60">
        <w:rPr>
          <w:rFonts w:ascii="Calibri" w:hAnsi="Calibri"/>
          <w:szCs w:val="22"/>
        </w:rPr>
        <w:t xml:space="preserve">I., </w:t>
      </w:r>
      <w:r w:rsidR="00AB79A1">
        <w:rPr>
          <w:rFonts w:ascii="Calibri" w:hAnsi="Calibri"/>
          <w:szCs w:val="22"/>
        </w:rPr>
        <w:t>II.</w:t>
      </w:r>
      <w:r w:rsidR="00436D60">
        <w:rPr>
          <w:rFonts w:ascii="Calibri" w:hAnsi="Calibri"/>
          <w:szCs w:val="22"/>
        </w:rPr>
        <w:t xml:space="preserve"> a III. </w:t>
      </w:r>
      <w:r w:rsidR="00AB79A1">
        <w:rPr>
          <w:rFonts w:ascii="Calibri" w:hAnsi="Calibri"/>
          <w:szCs w:val="22"/>
        </w:rPr>
        <w:t>etapy</w:t>
      </w:r>
      <w:r w:rsidR="00436D60">
        <w:rPr>
          <w:rFonts w:ascii="Calibri" w:hAnsi="Calibri"/>
          <w:szCs w:val="22"/>
        </w:rPr>
        <w:t>, přičemž nejprve je nutné realizovat I. etapu</w:t>
      </w:r>
      <w:r w:rsidR="006A387E">
        <w:rPr>
          <w:rFonts w:ascii="Calibri" w:hAnsi="Calibri"/>
          <w:szCs w:val="22"/>
        </w:rPr>
        <w:t>. Realizace</w:t>
      </w:r>
      <w:r w:rsidR="004841CD">
        <w:rPr>
          <w:rFonts w:ascii="Calibri" w:hAnsi="Calibri"/>
          <w:szCs w:val="22"/>
        </w:rPr>
        <w:t xml:space="preserve"> II. a III. etapy</w:t>
      </w:r>
      <w:r w:rsidR="00436D60">
        <w:rPr>
          <w:rFonts w:ascii="Calibri" w:hAnsi="Calibri"/>
          <w:szCs w:val="22"/>
        </w:rPr>
        <w:t xml:space="preserve"> je n</w:t>
      </w:r>
      <w:r w:rsidR="006A387E">
        <w:rPr>
          <w:rFonts w:ascii="Calibri" w:hAnsi="Calibri"/>
          <w:szCs w:val="22"/>
        </w:rPr>
        <w:t>a</w:t>
      </w:r>
      <w:r w:rsidR="00436D60">
        <w:rPr>
          <w:rFonts w:ascii="Calibri" w:hAnsi="Calibri"/>
          <w:szCs w:val="22"/>
        </w:rPr>
        <w:t xml:space="preserve"> sobě navzájem nezávislá</w:t>
      </w:r>
      <w:r w:rsidR="00AB79A1">
        <w:rPr>
          <w:rFonts w:ascii="Calibri" w:hAnsi="Calibri"/>
          <w:szCs w:val="22"/>
        </w:rPr>
        <w:t>. Pokud není v této smlouvě výslovně uvedeno jinak, nebo pokud to jednoznačně nevyplývá z obsahu ujednání, platí podmínky sjednané v této smlouvě pro</w:t>
      </w:r>
      <w:r w:rsidR="00286947">
        <w:rPr>
          <w:rFonts w:ascii="Calibri" w:hAnsi="Calibri"/>
          <w:szCs w:val="22"/>
        </w:rPr>
        <w:t xml:space="preserve"> dílo </w:t>
      </w:r>
      <w:r w:rsidR="003F49CB">
        <w:rPr>
          <w:rFonts w:ascii="Calibri" w:hAnsi="Calibri"/>
          <w:szCs w:val="22"/>
        </w:rPr>
        <w:t xml:space="preserve">rovněž </w:t>
      </w:r>
      <w:r w:rsidR="00286947">
        <w:rPr>
          <w:rFonts w:ascii="Calibri" w:hAnsi="Calibri"/>
          <w:szCs w:val="22"/>
        </w:rPr>
        <w:t>stejně pro</w:t>
      </w:r>
      <w:r w:rsidR="00AB79A1">
        <w:rPr>
          <w:rFonts w:ascii="Calibri" w:hAnsi="Calibri"/>
          <w:szCs w:val="22"/>
        </w:rPr>
        <w:t xml:space="preserve"> </w:t>
      </w:r>
      <w:r w:rsidR="00436D60">
        <w:rPr>
          <w:rFonts w:ascii="Calibri" w:hAnsi="Calibri"/>
          <w:szCs w:val="22"/>
        </w:rPr>
        <w:t>všechny</w:t>
      </w:r>
      <w:r w:rsidR="00AB79A1">
        <w:rPr>
          <w:rFonts w:ascii="Calibri" w:hAnsi="Calibri"/>
          <w:szCs w:val="22"/>
        </w:rPr>
        <w:t xml:space="preserve"> </w:t>
      </w:r>
      <w:r w:rsidR="00286947">
        <w:rPr>
          <w:rFonts w:ascii="Calibri" w:hAnsi="Calibri"/>
          <w:szCs w:val="22"/>
        </w:rPr>
        <w:t xml:space="preserve">jeho </w:t>
      </w:r>
      <w:r w:rsidR="00AB79A1">
        <w:rPr>
          <w:rFonts w:ascii="Calibri" w:hAnsi="Calibri"/>
          <w:szCs w:val="22"/>
        </w:rPr>
        <w:t>části</w:t>
      </w:r>
      <w:r w:rsidR="00286947">
        <w:rPr>
          <w:rFonts w:ascii="Calibri" w:hAnsi="Calibri"/>
          <w:szCs w:val="22"/>
        </w:rPr>
        <w:t xml:space="preserve"> (etapy)</w:t>
      </w:r>
      <w:r w:rsidR="00AB79A1">
        <w:rPr>
          <w:rFonts w:ascii="Calibri" w:hAnsi="Calibri"/>
          <w:szCs w:val="22"/>
        </w:rPr>
        <w:t>.</w:t>
      </w:r>
      <w:r w:rsidR="00C101AD">
        <w:rPr>
          <w:rFonts w:ascii="Calibri" w:hAnsi="Calibri"/>
          <w:szCs w:val="22"/>
        </w:rPr>
        <w:t xml:space="preserve"> </w:t>
      </w:r>
    </w:p>
    <w:p w:rsidR="00D922A7" w:rsidRDefault="00D922A7" w:rsidP="00D922A7">
      <w:pPr>
        <w:ind w:left="567" w:hanging="567"/>
        <w:rPr>
          <w:rFonts w:ascii="Calibri" w:hAnsi="Calibri"/>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2.3</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41392C" w:rsidRDefault="0041392C" w:rsidP="0041392C">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 obměna a doplnění klimatizačních jednotek na objektu</w:t>
      </w:r>
      <w:r>
        <w:rPr>
          <w:rFonts w:ascii="Calibri" w:hAnsi="Calibri"/>
        </w:rPr>
        <w:t xml:space="preserve"> </w:t>
      </w:r>
      <w:r w:rsidRPr="0041392C">
        <w:rPr>
          <w:rFonts w:ascii="Calibri" w:hAnsi="Calibri"/>
        </w:rPr>
        <w:t>Úřadu městského obvodu Moravská Ostrava a Přívoz.</w:t>
      </w:r>
    </w:p>
    <w:p w:rsidR="0041392C" w:rsidRDefault="0041392C" w:rsidP="0041392C">
      <w:pPr>
        <w:pStyle w:val="Normln1"/>
        <w:tabs>
          <w:tab w:val="left" w:pos="1526"/>
        </w:tabs>
        <w:ind w:left="567" w:hanging="567"/>
        <w:jc w:val="both"/>
        <w:rPr>
          <w:rFonts w:ascii="Calibri" w:hAnsi="Calibri"/>
        </w:rPr>
      </w:pPr>
    </w:p>
    <w:p w:rsidR="0041392C" w:rsidRDefault="0041392C" w:rsidP="0041392C">
      <w:pPr>
        <w:pStyle w:val="Normln1"/>
        <w:numPr>
          <w:ilvl w:val="0"/>
          <w:numId w:val="36"/>
        </w:numPr>
        <w:ind w:left="851" w:hanging="287"/>
        <w:jc w:val="both"/>
        <w:rPr>
          <w:rFonts w:ascii="Calibri" w:hAnsi="Calibri"/>
          <w:b/>
        </w:rPr>
      </w:pPr>
      <w:r>
        <w:rPr>
          <w:rFonts w:ascii="Calibri" w:hAnsi="Calibri"/>
          <w:b/>
        </w:rPr>
        <w:t>e</w:t>
      </w:r>
      <w:r w:rsidRPr="0041392C">
        <w:rPr>
          <w:rFonts w:ascii="Calibri" w:hAnsi="Calibri"/>
          <w:b/>
        </w:rPr>
        <w:t>tapa</w:t>
      </w:r>
    </w:p>
    <w:p w:rsidR="0041392C" w:rsidRPr="0041392C" w:rsidRDefault="0041392C" w:rsidP="0041392C">
      <w:pPr>
        <w:pStyle w:val="Normln1"/>
        <w:ind w:left="564"/>
        <w:jc w:val="both"/>
        <w:rPr>
          <w:rFonts w:ascii="Calibri" w:hAnsi="Calibri"/>
        </w:rPr>
      </w:pPr>
      <w:r w:rsidRPr="0041392C">
        <w:rPr>
          <w:rFonts w:ascii="Calibri" w:hAnsi="Calibri"/>
        </w:rPr>
        <w:t>Zahrnuje práce v 1.NP a 2.NP objektu, kdy bude část s nepřípustným chladivem R22 obměněna za chladivo R410a s kompatibilními vnitřními a venkovními jednotkami. Pro tuto etapu budou zachovány stávající rozvody.</w:t>
      </w:r>
    </w:p>
    <w:p w:rsidR="0041392C" w:rsidRDefault="0041392C" w:rsidP="00D922A7">
      <w:pPr>
        <w:ind w:left="567" w:hanging="567"/>
        <w:rPr>
          <w:rFonts w:ascii="Calibri" w:hAnsi="Calibri"/>
          <w:szCs w:val="22"/>
        </w:rPr>
      </w:pPr>
    </w:p>
    <w:p w:rsidR="0041392C" w:rsidRDefault="0041392C" w:rsidP="006A387E">
      <w:pPr>
        <w:pStyle w:val="Normln1"/>
        <w:numPr>
          <w:ilvl w:val="0"/>
          <w:numId w:val="36"/>
        </w:numPr>
        <w:ind w:left="851" w:hanging="284"/>
        <w:jc w:val="both"/>
        <w:rPr>
          <w:rFonts w:ascii="Calibri" w:hAnsi="Calibri"/>
          <w:b/>
        </w:rPr>
      </w:pPr>
      <w:r>
        <w:rPr>
          <w:rFonts w:ascii="Calibri" w:hAnsi="Calibri"/>
          <w:b/>
        </w:rPr>
        <w:t>e</w:t>
      </w:r>
      <w:r w:rsidRPr="0041392C">
        <w:rPr>
          <w:rFonts w:ascii="Calibri" w:hAnsi="Calibri"/>
          <w:b/>
        </w:rPr>
        <w:t>tapa</w:t>
      </w:r>
    </w:p>
    <w:p w:rsidR="00AA6508" w:rsidRDefault="00AA6508" w:rsidP="00AA6508">
      <w:pPr>
        <w:ind w:left="567" w:hanging="3"/>
        <w:rPr>
          <w:rFonts w:ascii="Calibri" w:hAnsi="Calibri"/>
          <w:szCs w:val="22"/>
        </w:rPr>
      </w:pPr>
      <w:r>
        <w:rPr>
          <w:rFonts w:ascii="Calibri" w:hAnsi="Calibri"/>
          <w:szCs w:val="22"/>
        </w:rPr>
        <w:t xml:space="preserve">Zahrnuje práce ve </w:t>
      </w:r>
      <w:r w:rsidRPr="00AA6508">
        <w:rPr>
          <w:rFonts w:ascii="Calibri" w:hAnsi="Calibri"/>
          <w:szCs w:val="22"/>
        </w:rPr>
        <w:t>3.NP objektu</w:t>
      </w:r>
      <w:r>
        <w:rPr>
          <w:rFonts w:ascii="Calibri" w:hAnsi="Calibri"/>
          <w:szCs w:val="22"/>
        </w:rPr>
        <w:t>, spočívající v</w:t>
      </w:r>
      <w:r w:rsidRPr="00AA6508">
        <w:rPr>
          <w:rFonts w:ascii="Calibri" w:hAnsi="Calibri"/>
          <w:szCs w:val="22"/>
        </w:rPr>
        <w:t xml:space="preserve"> doplnění klimatizačních systémů. </w:t>
      </w:r>
    </w:p>
    <w:p w:rsidR="006A387E" w:rsidRDefault="006A387E" w:rsidP="00AA6508">
      <w:pPr>
        <w:ind w:left="567" w:hanging="3"/>
        <w:rPr>
          <w:rFonts w:ascii="Calibri" w:hAnsi="Calibri"/>
          <w:szCs w:val="22"/>
        </w:rPr>
      </w:pPr>
    </w:p>
    <w:p w:rsidR="006A387E" w:rsidRDefault="006A387E" w:rsidP="006A387E">
      <w:pPr>
        <w:pStyle w:val="Normln1"/>
        <w:numPr>
          <w:ilvl w:val="0"/>
          <w:numId w:val="36"/>
        </w:numPr>
        <w:ind w:left="851" w:hanging="287"/>
        <w:jc w:val="both"/>
        <w:rPr>
          <w:rFonts w:ascii="Calibri" w:hAnsi="Calibri"/>
          <w:b/>
        </w:rPr>
      </w:pPr>
      <w:r>
        <w:rPr>
          <w:rFonts w:ascii="Calibri" w:hAnsi="Calibri"/>
          <w:b/>
        </w:rPr>
        <w:t>e</w:t>
      </w:r>
      <w:r w:rsidRPr="0041392C">
        <w:rPr>
          <w:rFonts w:ascii="Calibri" w:hAnsi="Calibri"/>
          <w:b/>
        </w:rPr>
        <w:t>tapa</w:t>
      </w:r>
    </w:p>
    <w:p w:rsidR="008F65EF" w:rsidRPr="008F65EF" w:rsidRDefault="008F65EF" w:rsidP="008F65EF">
      <w:pPr>
        <w:ind w:left="1131" w:hanging="567"/>
        <w:rPr>
          <w:rFonts w:ascii="Calibri" w:hAnsi="Calibri"/>
          <w:szCs w:val="22"/>
        </w:rPr>
      </w:pPr>
      <w:r w:rsidRPr="008F65EF">
        <w:rPr>
          <w:rFonts w:ascii="Calibri" w:hAnsi="Calibri"/>
          <w:szCs w:val="22"/>
        </w:rPr>
        <w:t xml:space="preserve">Zahrnuje práce ve </w:t>
      </w:r>
      <w:r>
        <w:rPr>
          <w:rFonts w:ascii="Calibri" w:hAnsi="Calibri"/>
          <w:szCs w:val="22"/>
        </w:rPr>
        <w:t>4</w:t>
      </w:r>
      <w:r w:rsidRPr="008F65EF">
        <w:rPr>
          <w:rFonts w:ascii="Calibri" w:hAnsi="Calibri"/>
          <w:szCs w:val="22"/>
        </w:rPr>
        <w:t xml:space="preserve">.NP objektu, spočívající v doplnění klimatizačních systémů. </w:t>
      </w:r>
    </w:p>
    <w:p w:rsidR="00AA6508" w:rsidRDefault="00AA6508" w:rsidP="008F65EF">
      <w:pPr>
        <w:ind w:left="1131" w:hanging="567"/>
        <w:rPr>
          <w:rFonts w:ascii="Calibri" w:hAnsi="Calibri"/>
          <w:szCs w:val="22"/>
        </w:rPr>
      </w:pPr>
    </w:p>
    <w:p w:rsidR="00E23ADF" w:rsidRDefault="00AA6508" w:rsidP="00DB7CD3">
      <w:pPr>
        <w:ind w:left="567" w:hanging="567"/>
        <w:rPr>
          <w:rFonts w:ascii="Calibri" w:hAnsi="Calibri"/>
          <w:szCs w:val="22"/>
        </w:rPr>
      </w:pPr>
      <w:r>
        <w:rPr>
          <w:rFonts w:ascii="Calibri" w:hAnsi="Calibri"/>
          <w:szCs w:val="22"/>
        </w:rPr>
        <w:t>2.4</w:t>
      </w:r>
      <w:r>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83853">
        <w:rPr>
          <w:rFonts w:ascii="Calibri" w:hAnsi="Calibri"/>
          <w:szCs w:val="22"/>
        </w:rPr>
        <w:t>9</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AA6508">
        <w:rPr>
          <w:rFonts w:ascii="Calibri" w:hAnsi="Calibri"/>
        </w:rPr>
        <w:t>5</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 </w:t>
      </w:r>
      <w:r w:rsidR="006E7929" w:rsidRPr="006E7929">
        <w:rPr>
          <w:rFonts w:asciiTheme="minorHAnsi" w:hAnsiTheme="minorHAnsi" w:cs="Arial"/>
        </w:rPr>
        <w:t>Ing. et Ing. Lumírem Vlkem, IČ 67717055</w:t>
      </w:r>
      <w:r w:rsidR="0013778C">
        <w:rPr>
          <w:rFonts w:asciiTheme="minorHAnsi" w:hAnsiTheme="minorHAnsi" w:cs="Arial"/>
        </w:rPr>
        <w:t>, která byla součástí zadávacích podmínek v rámci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AA6508">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AA6508">
        <w:rPr>
          <w:rFonts w:ascii="Calibri" w:hAnsi="Calibri" w:cs="Times New Roman"/>
          <w:sz w:val="22"/>
          <w:szCs w:val="22"/>
        </w:rPr>
        <w:t>7</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146CD8" w:rsidRPr="00146CD8">
        <w:rPr>
          <w:rFonts w:ascii="Calibri" w:hAnsi="Calibri" w:cs="Times New Roman"/>
          <w:sz w:val="22"/>
          <w:szCs w:val="22"/>
        </w:rPr>
        <w:t xml:space="preserve">nám. Dr. E. Beneše 555/6, Ostrava – Moravská Ostrava, pozemky  </w:t>
      </w:r>
      <w:proofErr w:type="spellStart"/>
      <w:r w:rsidR="00146CD8" w:rsidRPr="00146CD8">
        <w:rPr>
          <w:rFonts w:ascii="Calibri" w:hAnsi="Calibri" w:cs="Times New Roman"/>
          <w:sz w:val="22"/>
          <w:szCs w:val="22"/>
        </w:rPr>
        <w:t>parc</w:t>
      </w:r>
      <w:proofErr w:type="spellEnd"/>
      <w:r w:rsidR="00146CD8" w:rsidRPr="00146CD8">
        <w:rPr>
          <w:rFonts w:ascii="Calibri" w:hAnsi="Calibri" w:cs="Times New Roman"/>
          <w:sz w:val="22"/>
          <w:szCs w:val="22"/>
        </w:rPr>
        <w:t xml:space="preserve">. </w:t>
      </w:r>
      <w:proofErr w:type="gramStart"/>
      <w:r w:rsidR="00146CD8" w:rsidRPr="00146CD8">
        <w:rPr>
          <w:rFonts w:ascii="Calibri" w:hAnsi="Calibri" w:cs="Times New Roman"/>
          <w:sz w:val="22"/>
          <w:szCs w:val="22"/>
        </w:rPr>
        <w:t>č.</w:t>
      </w:r>
      <w:proofErr w:type="gramEnd"/>
      <w:r w:rsidR="00146CD8" w:rsidRPr="00146CD8">
        <w:rPr>
          <w:rFonts w:ascii="Calibri" w:hAnsi="Calibri" w:cs="Times New Roman"/>
          <w:sz w:val="22"/>
          <w:szCs w:val="22"/>
        </w:rPr>
        <w:t xml:space="preserve"> 466/3, k. </w:t>
      </w:r>
      <w:proofErr w:type="spellStart"/>
      <w:r w:rsidR="00146CD8" w:rsidRPr="00146CD8">
        <w:rPr>
          <w:rFonts w:ascii="Calibri" w:hAnsi="Calibri" w:cs="Times New Roman"/>
          <w:sz w:val="22"/>
          <w:szCs w:val="22"/>
        </w:rPr>
        <w:t>ú.</w:t>
      </w:r>
      <w:proofErr w:type="spellEnd"/>
      <w:r w:rsidR="00146CD8" w:rsidRPr="00146CD8">
        <w:rPr>
          <w:rFonts w:ascii="Calibri" w:hAnsi="Calibri" w:cs="Times New Roman"/>
          <w:sz w:val="22"/>
          <w:szCs w:val="22"/>
        </w:rPr>
        <w:t xml:space="preserve"> Moravská Ostrava, budova Úřadu městského obvodu Moravská Ostrava a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AA6508">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AA6508">
        <w:rPr>
          <w:rFonts w:ascii="Calibri" w:hAnsi="Calibri" w:cs="Times New Roman"/>
          <w:sz w:val="22"/>
          <w:szCs w:val="22"/>
        </w:rPr>
        <w:t>9</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w:t>
      </w:r>
      <w:r w:rsidR="00F7091E">
        <w:rPr>
          <w:rFonts w:ascii="Calibri" w:hAnsi="Calibri" w:cs="Times New Roman"/>
          <w:sz w:val="22"/>
          <w:szCs w:val="22"/>
        </w:rPr>
        <w:lastRenderedPageBreak/>
        <w:t xml:space="preserve">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F65C94" w:rsidRPr="00F65C94">
        <w:rPr>
          <w:rFonts w:ascii="Calibri" w:hAnsi="Calibri" w:cs="Times New Roman"/>
          <w:b/>
          <w:sz w:val="22"/>
          <w:szCs w:val="22"/>
        </w:rPr>
        <w:t>Obměna zastaralého klimatizačního systému</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pPr w:leftFromText="141" w:rightFromText="141"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552"/>
        <w:gridCol w:w="2551"/>
        <w:gridCol w:w="2341"/>
      </w:tblGrid>
      <w:tr w:rsidR="007A149A" w:rsidRPr="007A149A" w:rsidTr="007A149A">
        <w:tc>
          <w:tcPr>
            <w:tcW w:w="1771" w:type="dxa"/>
            <w:tcBorders>
              <w:top w:val="single" w:sz="6" w:space="0" w:color="auto"/>
              <w:left w:val="single" w:sz="6" w:space="0" w:color="auto"/>
              <w:bottom w:val="single" w:sz="12" w:space="0" w:color="auto"/>
            </w:tcBorders>
            <w:shd w:val="pct10" w:color="auto" w:fill="auto"/>
            <w:vAlign w:val="center"/>
          </w:tcPr>
          <w:p w:rsidR="007A149A" w:rsidRPr="007A149A" w:rsidRDefault="007A149A" w:rsidP="007A149A">
            <w:pPr>
              <w:widowControl w:val="0"/>
              <w:ind w:left="0" w:firstLine="0"/>
              <w:jc w:val="center"/>
              <w:rPr>
                <w:rFonts w:asciiTheme="minorHAnsi" w:hAnsiTheme="minorHAnsi"/>
                <w:bCs/>
                <w:snapToGrid w:val="0"/>
                <w:szCs w:val="22"/>
              </w:rPr>
            </w:pPr>
            <w:r>
              <w:rPr>
                <w:rFonts w:asciiTheme="minorHAnsi" w:hAnsiTheme="minorHAnsi"/>
                <w:bCs/>
                <w:snapToGrid w:val="0"/>
                <w:szCs w:val="22"/>
              </w:rPr>
              <w:t>Část</w:t>
            </w:r>
            <w:r w:rsidRPr="007A149A">
              <w:rPr>
                <w:rFonts w:asciiTheme="minorHAnsi" w:hAnsiTheme="minorHAnsi"/>
                <w:bCs/>
                <w:snapToGrid w:val="0"/>
                <w:szCs w:val="22"/>
              </w:rPr>
              <w:t xml:space="preserve"> díla</w:t>
            </w:r>
          </w:p>
        </w:tc>
        <w:tc>
          <w:tcPr>
            <w:tcW w:w="2552" w:type="dxa"/>
            <w:tcBorders>
              <w:top w:val="single" w:sz="6" w:space="0" w:color="auto"/>
              <w:bottom w:val="single" w:sz="12" w:space="0" w:color="auto"/>
            </w:tcBorders>
            <w:shd w:val="pct10" w:color="auto" w:fill="auto"/>
            <w:vAlign w:val="center"/>
          </w:tcPr>
          <w:p w:rsidR="007A149A" w:rsidRPr="007A149A" w:rsidRDefault="007A149A" w:rsidP="007A149A">
            <w:pPr>
              <w:widowControl w:val="0"/>
              <w:ind w:left="0" w:firstLine="0"/>
              <w:jc w:val="center"/>
              <w:rPr>
                <w:rFonts w:asciiTheme="minorHAnsi" w:hAnsiTheme="minorHAnsi"/>
                <w:snapToGrid w:val="0"/>
                <w:szCs w:val="22"/>
              </w:rPr>
            </w:pPr>
            <w:r w:rsidRPr="007A149A">
              <w:rPr>
                <w:rFonts w:asciiTheme="minorHAnsi" w:hAnsiTheme="minorHAnsi"/>
                <w:snapToGrid w:val="0"/>
                <w:szCs w:val="22"/>
              </w:rPr>
              <w:t>Cena bez DPH v Kč</w:t>
            </w:r>
          </w:p>
        </w:tc>
        <w:tc>
          <w:tcPr>
            <w:tcW w:w="2551" w:type="dxa"/>
            <w:tcBorders>
              <w:top w:val="single" w:sz="6" w:space="0" w:color="auto"/>
              <w:bottom w:val="single" w:sz="12" w:space="0" w:color="auto"/>
            </w:tcBorders>
            <w:shd w:val="pct10" w:color="auto" w:fill="auto"/>
            <w:vAlign w:val="center"/>
          </w:tcPr>
          <w:p w:rsidR="007A149A" w:rsidRPr="007A149A" w:rsidRDefault="007A149A" w:rsidP="007A149A">
            <w:pPr>
              <w:widowControl w:val="0"/>
              <w:ind w:left="0" w:firstLine="0"/>
              <w:jc w:val="center"/>
              <w:rPr>
                <w:rFonts w:asciiTheme="minorHAnsi" w:hAnsiTheme="minorHAnsi"/>
                <w:snapToGrid w:val="0"/>
                <w:szCs w:val="22"/>
              </w:rPr>
            </w:pPr>
            <w:r w:rsidRPr="007A149A">
              <w:rPr>
                <w:rFonts w:asciiTheme="minorHAnsi" w:hAnsiTheme="minorHAnsi"/>
                <w:snapToGrid w:val="0"/>
                <w:szCs w:val="22"/>
              </w:rPr>
              <w:t>DPH</w:t>
            </w:r>
            <w:r>
              <w:rPr>
                <w:rFonts w:asciiTheme="minorHAnsi" w:hAnsiTheme="minorHAnsi"/>
                <w:snapToGrid w:val="0"/>
                <w:szCs w:val="22"/>
              </w:rPr>
              <w:t xml:space="preserve"> </w:t>
            </w:r>
            <w:r w:rsidRPr="007A149A">
              <w:rPr>
                <w:rFonts w:asciiTheme="minorHAnsi" w:hAnsiTheme="minorHAnsi"/>
                <w:snapToGrid w:val="0"/>
                <w:szCs w:val="22"/>
              </w:rPr>
              <w:t>21%</w:t>
            </w:r>
          </w:p>
        </w:tc>
        <w:tc>
          <w:tcPr>
            <w:tcW w:w="2341" w:type="dxa"/>
            <w:tcBorders>
              <w:top w:val="single" w:sz="6" w:space="0" w:color="auto"/>
              <w:bottom w:val="single" w:sz="12" w:space="0" w:color="auto"/>
              <w:right w:val="single" w:sz="6" w:space="0" w:color="auto"/>
            </w:tcBorders>
            <w:shd w:val="pct10" w:color="auto" w:fill="auto"/>
            <w:vAlign w:val="center"/>
          </w:tcPr>
          <w:p w:rsidR="007A149A" w:rsidRPr="007A149A" w:rsidRDefault="007A149A" w:rsidP="007A149A">
            <w:pPr>
              <w:widowControl w:val="0"/>
              <w:ind w:left="0" w:firstLine="0"/>
              <w:jc w:val="center"/>
              <w:rPr>
                <w:rFonts w:asciiTheme="minorHAnsi" w:hAnsiTheme="minorHAnsi"/>
                <w:bCs/>
                <w:snapToGrid w:val="0"/>
                <w:szCs w:val="22"/>
              </w:rPr>
            </w:pPr>
            <w:r w:rsidRPr="007A149A">
              <w:rPr>
                <w:rFonts w:asciiTheme="minorHAnsi" w:hAnsiTheme="minorHAnsi"/>
                <w:bCs/>
                <w:snapToGrid w:val="0"/>
                <w:szCs w:val="22"/>
              </w:rPr>
              <w:t>Cena vč. DPH v Kč</w:t>
            </w:r>
          </w:p>
        </w:tc>
      </w:tr>
      <w:tr w:rsidR="007A149A" w:rsidRPr="007A149A" w:rsidTr="007A149A">
        <w:tc>
          <w:tcPr>
            <w:tcW w:w="1771" w:type="dxa"/>
            <w:tcBorders>
              <w:left w:val="single" w:sz="6" w:space="0" w:color="auto"/>
            </w:tcBorders>
          </w:tcPr>
          <w:p w:rsidR="007A149A" w:rsidRPr="007A149A" w:rsidRDefault="007A149A" w:rsidP="007A149A">
            <w:pPr>
              <w:pStyle w:val="Odstavecseseznamem"/>
              <w:widowControl w:val="0"/>
              <w:tabs>
                <w:tab w:val="left" w:pos="2928"/>
              </w:tabs>
              <w:ind w:left="1080"/>
              <w:rPr>
                <w:rFonts w:asciiTheme="minorHAnsi" w:hAnsiTheme="minorHAnsi"/>
                <w:snapToGrid w:val="0"/>
                <w:sz w:val="22"/>
                <w:szCs w:val="22"/>
              </w:rPr>
            </w:pPr>
          </w:p>
          <w:p w:rsidR="007A149A" w:rsidRPr="007A149A" w:rsidRDefault="007A149A" w:rsidP="007A149A">
            <w:pPr>
              <w:pStyle w:val="Odstavecseseznamem"/>
              <w:widowControl w:val="0"/>
              <w:numPr>
                <w:ilvl w:val="0"/>
                <w:numId w:val="37"/>
              </w:numPr>
              <w:tabs>
                <w:tab w:val="left" w:pos="2928"/>
              </w:tabs>
              <w:ind w:left="709" w:hanging="349"/>
              <w:rPr>
                <w:rFonts w:asciiTheme="minorHAnsi" w:hAnsiTheme="minorHAnsi"/>
                <w:snapToGrid w:val="0"/>
                <w:sz w:val="22"/>
                <w:szCs w:val="22"/>
              </w:rPr>
            </w:pPr>
            <w:r w:rsidRPr="007A149A">
              <w:rPr>
                <w:rFonts w:asciiTheme="minorHAnsi" w:hAnsiTheme="minorHAnsi"/>
                <w:snapToGrid w:val="0"/>
                <w:sz w:val="22"/>
                <w:szCs w:val="22"/>
              </w:rPr>
              <w:t>etapa</w:t>
            </w:r>
          </w:p>
        </w:tc>
        <w:tc>
          <w:tcPr>
            <w:tcW w:w="2552" w:type="dxa"/>
          </w:tcPr>
          <w:p w:rsidR="007A149A" w:rsidRPr="007A149A" w:rsidRDefault="007A149A" w:rsidP="007A149A">
            <w:pPr>
              <w:widowControl w:val="0"/>
              <w:ind w:left="0" w:firstLine="0"/>
              <w:jc w:val="center"/>
              <w:rPr>
                <w:rFonts w:asciiTheme="minorHAnsi" w:hAnsiTheme="minorHAnsi"/>
                <w:snapToGrid w:val="0"/>
                <w:szCs w:val="22"/>
                <w:highlight w:val="yellow"/>
              </w:rPr>
            </w:pPr>
          </w:p>
          <w:p w:rsidR="007A149A" w:rsidRPr="007A149A" w:rsidRDefault="007A149A" w:rsidP="007A149A">
            <w:pPr>
              <w:widowControl w:val="0"/>
              <w:ind w:left="0" w:firstLine="0"/>
              <w:jc w:val="center"/>
              <w:rPr>
                <w:rFonts w:asciiTheme="minorHAnsi" w:hAnsiTheme="minorHAnsi"/>
                <w:snapToGrid w:val="0"/>
                <w:szCs w:val="22"/>
                <w:highlight w:val="yellow"/>
              </w:rPr>
            </w:pPr>
          </w:p>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551" w:type="dxa"/>
          </w:tcPr>
          <w:p w:rsidR="007A149A" w:rsidRPr="007A149A" w:rsidRDefault="007A149A" w:rsidP="007A149A">
            <w:pPr>
              <w:widowControl w:val="0"/>
              <w:ind w:left="0" w:firstLine="0"/>
              <w:jc w:val="center"/>
              <w:rPr>
                <w:rFonts w:asciiTheme="minorHAnsi" w:hAnsiTheme="minorHAnsi"/>
                <w:snapToGrid w:val="0"/>
                <w:szCs w:val="22"/>
                <w:highlight w:val="yellow"/>
              </w:rPr>
            </w:pPr>
          </w:p>
          <w:p w:rsidR="007A149A" w:rsidRPr="007A149A" w:rsidRDefault="007A149A" w:rsidP="007A149A">
            <w:pPr>
              <w:widowControl w:val="0"/>
              <w:ind w:left="0" w:firstLine="0"/>
              <w:jc w:val="center"/>
              <w:rPr>
                <w:rFonts w:asciiTheme="minorHAnsi" w:hAnsiTheme="minorHAnsi"/>
                <w:snapToGrid w:val="0"/>
                <w:szCs w:val="22"/>
                <w:highlight w:val="yellow"/>
              </w:rPr>
            </w:pPr>
          </w:p>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341" w:type="dxa"/>
            <w:tcBorders>
              <w:right w:val="single" w:sz="6" w:space="0" w:color="auto"/>
            </w:tcBorders>
          </w:tcPr>
          <w:p w:rsidR="007A149A" w:rsidRPr="007A149A" w:rsidRDefault="007A149A" w:rsidP="007A149A">
            <w:pPr>
              <w:widowControl w:val="0"/>
              <w:ind w:left="0" w:firstLine="0"/>
              <w:jc w:val="center"/>
              <w:rPr>
                <w:rFonts w:asciiTheme="minorHAnsi" w:hAnsiTheme="minorHAnsi"/>
                <w:b/>
                <w:bCs/>
                <w:snapToGrid w:val="0"/>
                <w:szCs w:val="22"/>
                <w:highlight w:val="yellow"/>
              </w:rPr>
            </w:pPr>
          </w:p>
          <w:p w:rsidR="007A149A" w:rsidRPr="007A149A" w:rsidRDefault="007A149A" w:rsidP="007A149A">
            <w:pPr>
              <w:widowControl w:val="0"/>
              <w:ind w:left="0" w:firstLine="0"/>
              <w:jc w:val="center"/>
              <w:rPr>
                <w:rFonts w:asciiTheme="minorHAnsi" w:hAnsiTheme="minorHAnsi"/>
                <w:b/>
                <w:bCs/>
                <w:snapToGrid w:val="0"/>
                <w:szCs w:val="22"/>
                <w:highlight w:val="yellow"/>
              </w:rPr>
            </w:pPr>
          </w:p>
          <w:p w:rsidR="007A149A" w:rsidRPr="007A149A" w:rsidRDefault="007A149A" w:rsidP="007A149A">
            <w:pPr>
              <w:widowControl w:val="0"/>
              <w:ind w:left="0" w:firstLine="0"/>
              <w:jc w:val="center"/>
              <w:rPr>
                <w:rFonts w:asciiTheme="minorHAnsi" w:hAnsiTheme="minorHAnsi"/>
                <w:b/>
                <w:bCs/>
                <w:snapToGrid w:val="0"/>
                <w:szCs w:val="22"/>
                <w:highlight w:val="yellow"/>
              </w:rPr>
            </w:pPr>
          </w:p>
        </w:tc>
      </w:tr>
      <w:tr w:rsidR="007A149A" w:rsidRPr="007A149A" w:rsidTr="007A149A">
        <w:tc>
          <w:tcPr>
            <w:tcW w:w="1771" w:type="dxa"/>
            <w:tcBorders>
              <w:left w:val="single" w:sz="6" w:space="0" w:color="auto"/>
            </w:tcBorders>
          </w:tcPr>
          <w:p w:rsidR="007A149A" w:rsidRPr="007A149A" w:rsidRDefault="007A149A" w:rsidP="007A149A">
            <w:pPr>
              <w:pStyle w:val="Odstavecseseznamem"/>
              <w:widowControl w:val="0"/>
              <w:tabs>
                <w:tab w:val="left" w:pos="2928"/>
              </w:tabs>
              <w:ind w:left="1080"/>
              <w:rPr>
                <w:rFonts w:asciiTheme="minorHAnsi" w:hAnsiTheme="minorHAnsi"/>
                <w:snapToGrid w:val="0"/>
                <w:sz w:val="22"/>
                <w:szCs w:val="22"/>
              </w:rPr>
            </w:pPr>
          </w:p>
          <w:p w:rsidR="007A149A" w:rsidRPr="007A149A" w:rsidRDefault="007A149A" w:rsidP="007A149A">
            <w:pPr>
              <w:pStyle w:val="Odstavecseseznamem"/>
              <w:widowControl w:val="0"/>
              <w:numPr>
                <w:ilvl w:val="0"/>
                <w:numId w:val="37"/>
              </w:numPr>
              <w:tabs>
                <w:tab w:val="left" w:pos="2928"/>
              </w:tabs>
              <w:ind w:left="709" w:hanging="425"/>
              <w:rPr>
                <w:rFonts w:asciiTheme="minorHAnsi" w:hAnsiTheme="minorHAnsi"/>
                <w:snapToGrid w:val="0"/>
                <w:sz w:val="22"/>
                <w:szCs w:val="22"/>
              </w:rPr>
            </w:pPr>
            <w:r w:rsidRPr="007A149A">
              <w:rPr>
                <w:rFonts w:asciiTheme="minorHAnsi" w:hAnsiTheme="minorHAnsi"/>
                <w:snapToGrid w:val="0"/>
                <w:sz w:val="22"/>
                <w:szCs w:val="22"/>
              </w:rPr>
              <w:t>etapa</w:t>
            </w:r>
          </w:p>
          <w:p w:rsidR="007A149A" w:rsidRPr="007A149A" w:rsidRDefault="007A149A" w:rsidP="007A149A">
            <w:pPr>
              <w:pStyle w:val="Odstavecseseznamem"/>
              <w:widowControl w:val="0"/>
              <w:tabs>
                <w:tab w:val="left" w:pos="2928"/>
              </w:tabs>
              <w:ind w:left="1080"/>
              <w:rPr>
                <w:rFonts w:asciiTheme="minorHAnsi" w:hAnsiTheme="minorHAnsi"/>
                <w:snapToGrid w:val="0"/>
                <w:sz w:val="22"/>
                <w:szCs w:val="22"/>
              </w:rPr>
            </w:pPr>
          </w:p>
        </w:tc>
        <w:tc>
          <w:tcPr>
            <w:tcW w:w="2552" w:type="dxa"/>
          </w:tcPr>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551" w:type="dxa"/>
          </w:tcPr>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341" w:type="dxa"/>
            <w:tcBorders>
              <w:right w:val="single" w:sz="6" w:space="0" w:color="auto"/>
            </w:tcBorders>
          </w:tcPr>
          <w:p w:rsidR="007A149A" w:rsidRPr="007A149A" w:rsidRDefault="007A149A" w:rsidP="007A149A">
            <w:pPr>
              <w:widowControl w:val="0"/>
              <w:ind w:left="0" w:firstLine="0"/>
              <w:jc w:val="center"/>
              <w:rPr>
                <w:rFonts w:asciiTheme="minorHAnsi" w:hAnsiTheme="minorHAnsi"/>
                <w:b/>
                <w:bCs/>
                <w:snapToGrid w:val="0"/>
                <w:szCs w:val="22"/>
                <w:highlight w:val="yellow"/>
              </w:rPr>
            </w:pPr>
          </w:p>
        </w:tc>
      </w:tr>
      <w:tr w:rsidR="007A149A" w:rsidRPr="007A149A" w:rsidTr="007A149A">
        <w:tc>
          <w:tcPr>
            <w:tcW w:w="1771" w:type="dxa"/>
            <w:tcBorders>
              <w:left w:val="single" w:sz="6" w:space="0" w:color="auto"/>
            </w:tcBorders>
          </w:tcPr>
          <w:p w:rsidR="007A149A" w:rsidRPr="007A149A" w:rsidRDefault="007A149A" w:rsidP="007A149A">
            <w:pPr>
              <w:pStyle w:val="Odstavecseseznamem"/>
              <w:widowControl w:val="0"/>
              <w:tabs>
                <w:tab w:val="left" w:pos="2928"/>
              </w:tabs>
              <w:ind w:left="1080"/>
              <w:rPr>
                <w:rFonts w:asciiTheme="minorHAnsi" w:hAnsiTheme="minorHAnsi"/>
                <w:snapToGrid w:val="0"/>
                <w:sz w:val="22"/>
                <w:szCs w:val="22"/>
              </w:rPr>
            </w:pPr>
          </w:p>
          <w:p w:rsidR="007A149A" w:rsidRPr="007A149A" w:rsidRDefault="007A149A" w:rsidP="007A149A">
            <w:pPr>
              <w:pStyle w:val="Odstavecseseznamem"/>
              <w:widowControl w:val="0"/>
              <w:numPr>
                <w:ilvl w:val="0"/>
                <w:numId w:val="37"/>
              </w:numPr>
              <w:tabs>
                <w:tab w:val="left" w:pos="2928"/>
              </w:tabs>
              <w:ind w:left="709" w:hanging="425"/>
              <w:rPr>
                <w:rFonts w:asciiTheme="minorHAnsi" w:hAnsiTheme="minorHAnsi"/>
                <w:snapToGrid w:val="0"/>
                <w:sz w:val="22"/>
                <w:szCs w:val="22"/>
              </w:rPr>
            </w:pPr>
            <w:r w:rsidRPr="007A149A">
              <w:rPr>
                <w:rFonts w:asciiTheme="minorHAnsi" w:hAnsiTheme="minorHAnsi"/>
                <w:snapToGrid w:val="0"/>
                <w:sz w:val="22"/>
                <w:szCs w:val="22"/>
              </w:rPr>
              <w:t>etapa</w:t>
            </w:r>
          </w:p>
          <w:p w:rsidR="007A149A" w:rsidRPr="007A149A" w:rsidRDefault="007A149A" w:rsidP="007A149A">
            <w:pPr>
              <w:pStyle w:val="Odstavecseseznamem"/>
              <w:widowControl w:val="0"/>
              <w:tabs>
                <w:tab w:val="left" w:pos="2928"/>
              </w:tabs>
              <w:ind w:left="1080"/>
              <w:rPr>
                <w:rFonts w:asciiTheme="minorHAnsi" w:hAnsiTheme="minorHAnsi"/>
                <w:snapToGrid w:val="0"/>
                <w:sz w:val="22"/>
                <w:szCs w:val="22"/>
              </w:rPr>
            </w:pPr>
          </w:p>
        </w:tc>
        <w:tc>
          <w:tcPr>
            <w:tcW w:w="2552" w:type="dxa"/>
          </w:tcPr>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551" w:type="dxa"/>
          </w:tcPr>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341" w:type="dxa"/>
            <w:tcBorders>
              <w:right w:val="single" w:sz="6" w:space="0" w:color="auto"/>
            </w:tcBorders>
          </w:tcPr>
          <w:p w:rsidR="007A149A" w:rsidRPr="007A149A" w:rsidRDefault="007A149A" w:rsidP="007A149A">
            <w:pPr>
              <w:widowControl w:val="0"/>
              <w:ind w:left="0" w:firstLine="0"/>
              <w:jc w:val="center"/>
              <w:rPr>
                <w:rFonts w:asciiTheme="minorHAnsi" w:hAnsiTheme="minorHAnsi"/>
                <w:b/>
                <w:bCs/>
                <w:snapToGrid w:val="0"/>
                <w:szCs w:val="22"/>
                <w:highlight w:val="yellow"/>
              </w:rPr>
            </w:pPr>
          </w:p>
        </w:tc>
      </w:tr>
      <w:tr w:rsidR="007A149A" w:rsidRPr="007A149A" w:rsidTr="007A149A">
        <w:tc>
          <w:tcPr>
            <w:tcW w:w="1771" w:type="dxa"/>
            <w:tcBorders>
              <w:top w:val="single" w:sz="18" w:space="0" w:color="auto"/>
              <w:left w:val="single" w:sz="6" w:space="0" w:color="auto"/>
              <w:bottom w:val="single" w:sz="6" w:space="0" w:color="auto"/>
            </w:tcBorders>
            <w:shd w:val="pct10" w:color="auto" w:fill="auto"/>
          </w:tcPr>
          <w:p w:rsidR="007A149A" w:rsidRDefault="007A149A" w:rsidP="007A149A">
            <w:pPr>
              <w:widowControl w:val="0"/>
              <w:ind w:left="0" w:firstLine="0"/>
              <w:jc w:val="left"/>
              <w:rPr>
                <w:rFonts w:asciiTheme="minorHAnsi" w:hAnsiTheme="minorHAnsi"/>
                <w:b/>
                <w:bCs/>
                <w:snapToGrid w:val="0"/>
                <w:szCs w:val="22"/>
              </w:rPr>
            </w:pPr>
          </w:p>
          <w:p w:rsidR="007A149A" w:rsidRDefault="007A149A" w:rsidP="007A149A">
            <w:pPr>
              <w:widowControl w:val="0"/>
              <w:ind w:left="0" w:firstLine="0"/>
              <w:jc w:val="left"/>
              <w:rPr>
                <w:rFonts w:asciiTheme="minorHAnsi" w:hAnsiTheme="minorHAnsi"/>
                <w:b/>
                <w:bCs/>
                <w:snapToGrid w:val="0"/>
                <w:szCs w:val="22"/>
              </w:rPr>
            </w:pPr>
            <w:r w:rsidRPr="007A149A">
              <w:rPr>
                <w:rFonts w:asciiTheme="minorHAnsi" w:hAnsiTheme="minorHAnsi"/>
                <w:b/>
                <w:bCs/>
                <w:snapToGrid w:val="0"/>
                <w:szCs w:val="22"/>
              </w:rPr>
              <w:t xml:space="preserve">CENA </w:t>
            </w:r>
            <w:r>
              <w:rPr>
                <w:rFonts w:asciiTheme="minorHAnsi" w:hAnsiTheme="minorHAnsi"/>
                <w:b/>
                <w:bCs/>
                <w:snapToGrid w:val="0"/>
                <w:szCs w:val="22"/>
              </w:rPr>
              <w:t>CELKEM</w:t>
            </w:r>
            <w:r w:rsidRPr="007A149A">
              <w:rPr>
                <w:rFonts w:asciiTheme="minorHAnsi" w:hAnsiTheme="minorHAnsi"/>
                <w:b/>
                <w:bCs/>
                <w:snapToGrid w:val="0"/>
                <w:szCs w:val="22"/>
              </w:rPr>
              <w:t xml:space="preserve"> </w:t>
            </w:r>
          </w:p>
          <w:p w:rsidR="007A149A" w:rsidRPr="007A149A" w:rsidRDefault="007A149A" w:rsidP="007A149A">
            <w:pPr>
              <w:widowControl w:val="0"/>
              <w:ind w:left="0" w:firstLine="0"/>
              <w:jc w:val="left"/>
              <w:rPr>
                <w:rFonts w:asciiTheme="minorHAnsi" w:hAnsiTheme="minorHAnsi"/>
                <w:snapToGrid w:val="0"/>
                <w:szCs w:val="22"/>
              </w:rPr>
            </w:pPr>
          </w:p>
        </w:tc>
        <w:tc>
          <w:tcPr>
            <w:tcW w:w="2552" w:type="dxa"/>
            <w:tcBorders>
              <w:top w:val="single" w:sz="18" w:space="0" w:color="auto"/>
              <w:bottom w:val="single" w:sz="6" w:space="0" w:color="auto"/>
            </w:tcBorders>
            <w:shd w:val="pct10" w:color="auto" w:fill="auto"/>
          </w:tcPr>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551" w:type="dxa"/>
            <w:tcBorders>
              <w:top w:val="single" w:sz="18" w:space="0" w:color="auto"/>
              <w:bottom w:val="single" w:sz="6" w:space="0" w:color="auto"/>
            </w:tcBorders>
            <w:shd w:val="pct10" w:color="auto" w:fill="auto"/>
          </w:tcPr>
          <w:p w:rsidR="007A149A" w:rsidRPr="007A149A" w:rsidRDefault="007A149A" w:rsidP="007A149A">
            <w:pPr>
              <w:widowControl w:val="0"/>
              <w:ind w:left="0" w:firstLine="0"/>
              <w:jc w:val="center"/>
              <w:rPr>
                <w:rFonts w:asciiTheme="minorHAnsi" w:hAnsiTheme="minorHAnsi"/>
                <w:snapToGrid w:val="0"/>
                <w:szCs w:val="22"/>
                <w:highlight w:val="yellow"/>
              </w:rPr>
            </w:pPr>
          </w:p>
        </w:tc>
        <w:tc>
          <w:tcPr>
            <w:tcW w:w="2341" w:type="dxa"/>
            <w:tcBorders>
              <w:top w:val="single" w:sz="18" w:space="0" w:color="auto"/>
              <w:bottom w:val="single" w:sz="6" w:space="0" w:color="auto"/>
              <w:right w:val="single" w:sz="6" w:space="0" w:color="auto"/>
            </w:tcBorders>
            <w:shd w:val="pct10" w:color="auto" w:fill="auto"/>
          </w:tcPr>
          <w:p w:rsidR="007A149A" w:rsidRPr="007A149A" w:rsidRDefault="007A149A" w:rsidP="007A149A">
            <w:pPr>
              <w:widowControl w:val="0"/>
              <w:ind w:left="0" w:firstLine="0"/>
              <w:jc w:val="center"/>
              <w:rPr>
                <w:rFonts w:asciiTheme="minorHAnsi" w:hAnsiTheme="minorHAnsi"/>
                <w:b/>
                <w:bCs/>
                <w:snapToGrid w:val="0"/>
                <w:szCs w:val="22"/>
                <w:highlight w:val="yellow"/>
              </w:rPr>
            </w:pPr>
          </w:p>
        </w:tc>
      </w:tr>
    </w:tbl>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7A149A" w:rsidRDefault="007A149A" w:rsidP="004B7929">
      <w:pPr>
        <w:pStyle w:val="Normln1"/>
        <w:ind w:left="1843" w:hanging="1276"/>
        <w:jc w:val="both"/>
        <w:rPr>
          <w:rFonts w:ascii="Calibri" w:hAnsi="Calibri" w:cs="Calibri"/>
          <w:b/>
          <w:highlight w:val="yellow"/>
        </w:rPr>
      </w:pPr>
    </w:p>
    <w:p w:rsidR="00962D51" w:rsidRDefault="00962D51" w:rsidP="007A149A">
      <w:pPr>
        <w:pStyle w:val="Normln1"/>
        <w:jc w:val="both"/>
        <w:rPr>
          <w:rFonts w:ascii="Calibri" w:hAnsi="Calibri" w:cs="Calibri"/>
        </w:rPr>
      </w:pPr>
    </w:p>
    <w:p w:rsidR="007A149A" w:rsidRDefault="007A149A" w:rsidP="00962D51">
      <w:pPr>
        <w:ind w:hanging="153"/>
        <w:rPr>
          <w:rFonts w:ascii="Calibri" w:hAnsi="Calibri"/>
          <w:i/>
          <w:szCs w:val="22"/>
          <w:highlight w:val="yellow"/>
        </w:rPr>
      </w:pPr>
    </w:p>
    <w:p w:rsidR="00962D51" w:rsidRPr="00511059" w:rsidRDefault="007A149A" w:rsidP="00962D51">
      <w:pPr>
        <w:ind w:hanging="153"/>
        <w:rPr>
          <w:rFonts w:ascii="Calibri" w:hAnsi="Calibri"/>
          <w:i/>
          <w:szCs w:val="22"/>
        </w:rPr>
      </w:pPr>
      <w:r>
        <w:rPr>
          <w:rFonts w:ascii="Calibri" w:hAnsi="Calibri"/>
          <w:i/>
          <w:szCs w:val="22"/>
          <w:highlight w:val="yellow"/>
        </w:rPr>
        <w:t>(</w:t>
      </w:r>
      <w:r w:rsidR="00962D51">
        <w:rPr>
          <w:rFonts w:ascii="Calibri" w:hAnsi="Calibri"/>
          <w:i/>
          <w:szCs w:val="22"/>
          <w:highlight w:val="yellow"/>
        </w:rPr>
        <w:t>doplní zhotovitel</w:t>
      </w:r>
      <w:r w:rsidR="00962D51" w:rsidRPr="00511059">
        <w:rPr>
          <w:rFonts w:ascii="Calibri" w:hAnsi="Calibri"/>
          <w:i/>
          <w:szCs w:val="22"/>
          <w:highlight w:val="yellow"/>
        </w:rPr>
        <w:t>)</w:t>
      </w:r>
    </w:p>
    <w:p w:rsidR="00962D51" w:rsidRDefault="00962D51"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w:t>
      </w:r>
      <w:r w:rsidR="004B68BE" w:rsidRPr="00F80BB6">
        <w:rPr>
          <w:rFonts w:ascii="Calibri" w:hAnsi="Calibri"/>
          <w:snapToGrid w:val="0"/>
          <w:sz w:val="22"/>
          <w:szCs w:val="22"/>
        </w:rPr>
        <w:lastRenderedPageBreak/>
        <w:t>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(jeho části)</w:t>
      </w:r>
      <w:r w:rsidRPr="008364F5">
        <w:rPr>
          <w:rFonts w:ascii="Calibri" w:hAnsi="Calibri" w:cs="Times New Roman"/>
          <w:sz w:val="22"/>
          <w:szCs w:val="22"/>
        </w:rPr>
        <w:t xml:space="preserve">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 xml:space="preserve">ermín provedení </w:t>
      </w:r>
      <w:r w:rsidR="00597795">
        <w:rPr>
          <w:rFonts w:ascii="Calibri" w:hAnsi="Calibri" w:cs="Times New Roman"/>
          <w:sz w:val="22"/>
          <w:szCs w:val="22"/>
        </w:rPr>
        <w:t xml:space="preserve">I. etapy </w:t>
      </w:r>
      <w:r w:rsidR="00D378F8" w:rsidRPr="008364F5">
        <w:rPr>
          <w:rFonts w:ascii="Calibri" w:hAnsi="Calibri" w:cs="Times New Roman"/>
          <w:sz w:val="22"/>
          <w:szCs w:val="22"/>
        </w:rPr>
        <w:t>díla:</w:t>
      </w:r>
      <w:r w:rsidR="006866F2" w:rsidRPr="00E9367C">
        <w:rPr>
          <w:rFonts w:ascii="Calibri" w:hAnsi="Calibri" w:cs="Times New Roman"/>
          <w:b/>
          <w:sz w:val="22"/>
          <w:szCs w:val="22"/>
        </w:rPr>
        <w:t xml:space="preserve"> </w:t>
      </w:r>
      <w:r w:rsidR="00597795">
        <w:rPr>
          <w:rFonts w:ascii="Calibri" w:hAnsi="Calibri" w:cs="Times New Roman"/>
          <w:b/>
          <w:sz w:val="22"/>
          <w:szCs w:val="22"/>
        </w:rPr>
        <w:t>4</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130448">
        <w:rPr>
          <w:rFonts w:ascii="Calibri" w:hAnsi="Calibri" w:cs="Times New Roman"/>
          <w:b/>
          <w:sz w:val="22"/>
          <w:szCs w:val="22"/>
        </w:rPr>
        <w:t>.</w:t>
      </w:r>
    </w:p>
    <w:p w:rsidR="00D378F8" w:rsidRDefault="00D378F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r>
        <w:rPr>
          <w:rFonts w:ascii="Calibri" w:hAnsi="Calibri" w:cs="Times New Roman"/>
          <w:sz w:val="22"/>
          <w:szCs w:val="22"/>
        </w:rPr>
        <w:t>Předpokládaný t</w:t>
      </w:r>
      <w:r w:rsidR="00FC5926">
        <w:rPr>
          <w:rFonts w:ascii="Calibri" w:hAnsi="Calibri" w:cs="Times New Roman"/>
          <w:sz w:val="22"/>
          <w:szCs w:val="22"/>
        </w:rPr>
        <w:t>ermín předání</w:t>
      </w:r>
      <w:r w:rsidRPr="008364F5">
        <w:rPr>
          <w:rFonts w:ascii="Calibri" w:hAnsi="Calibri" w:cs="Times New Roman"/>
          <w:sz w:val="22"/>
          <w:szCs w:val="22"/>
        </w:rPr>
        <w:t xml:space="preserve"> staveniště</w:t>
      </w:r>
      <w:r>
        <w:rPr>
          <w:rFonts w:ascii="Calibri" w:hAnsi="Calibri" w:cs="Times New Roman"/>
          <w:sz w:val="22"/>
          <w:szCs w:val="22"/>
        </w:rPr>
        <w:t xml:space="preserve"> a zahájení prací</w:t>
      </w:r>
      <w:r w:rsidRPr="008364F5">
        <w:rPr>
          <w:rFonts w:ascii="Calibri" w:hAnsi="Calibri" w:cs="Times New Roman"/>
          <w:sz w:val="22"/>
          <w:szCs w:val="22"/>
        </w:rPr>
        <w:t>:</w:t>
      </w:r>
      <w:r w:rsidR="00674A89">
        <w:rPr>
          <w:rFonts w:ascii="Calibri" w:hAnsi="Calibri" w:cs="Times New Roman"/>
          <w:b/>
          <w:sz w:val="22"/>
          <w:szCs w:val="22"/>
        </w:rPr>
        <w:t xml:space="preserve"> </w:t>
      </w:r>
      <w:r w:rsidR="0070255D">
        <w:rPr>
          <w:rFonts w:ascii="Calibri" w:hAnsi="Calibri" w:cs="Times New Roman"/>
          <w:b/>
          <w:sz w:val="22"/>
          <w:szCs w:val="22"/>
        </w:rPr>
        <w:t>listopad</w:t>
      </w:r>
      <w:r w:rsidR="00EC12A8">
        <w:rPr>
          <w:rFonts w:ascii="Calibri" w:hAnsi="Calibri" w:cs="Times New Roman"/>
          <w:b/>
          <w:sz w:val="22"/>
          <w:szCs w:val="22"/>
        </w:rPr>
        <w:t xml:space="preserve"> 2017</w:t>
      </w:r>
      <w:r w:rsidR="00C3717C">
        <w:rPr>
          <w:rFonts w:ascii="Calibri" w:hAnsi="Calibri" w:cs="Times New Roman"/>
          <w:sz w:val="22"/>
          <w:szCs w:val="22"/>
        </w:rPr>
        <w:t>.</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130448" w:rsidRDefault="00130448" w:rsidP="001304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b/>
          <w:sz w:val="22"/>
          <w:szCs w:val="22"/>
        </w:rPr>
      </w:pPr>
      <w:r>
        <w:rPr>
          <w:rFonts w:ascii="Calibri" w:hAnsi="Calibri" w:cs="Times New Roman"/>
          <w:sz w:val="22"/>
          <w:szCs w:val="22"/>
        </w:rPr>
        <w:t>4.1.2</w:t>
      </w:r>
      <w:r>
        <w:rPr>
          <w:rFonts w:ascii="Calibri" w:hAnsi="Calibri" w:cs="Times New Roman"/>
          <w:sz w:val="22"/>
          <w:szCs w:val="22"/>
        </w:rPr>
        <w:tab/>
      </w:r>
      <w:r w:rsidRPr="00130448">
        <w:rPr>
          <w:rFonts w:ascii="Calibri" w:hAnsi="Calibri" w:cs="Times New Roman"/>
          <w:sz w:val="22"/>
          <w:szCs w:val="22"/>
        </w:rPr>
        <w:t xml:space="preserve">Termín provedení </w:t>
      </w:r>
      <w:r>
        <w:rPr>
          <w:rFonts w:ascii="Calibri" w:hAnsi="Calibri" w:cs="Times New Roman"/>
          <w:sz w:val="22"/>
          <w:szCs w:val="22"/>
        </w:rPr>
        <w:t>I</w:t>
      </w:r>
      <w:r w:rsidRPr="00130448">
        <w:rPr>
          <w:rFonts w:ascii="Calibri" w:hAnsi="Calibri" w:cs="Times New Roman"/>
          <w:sz w:val="22"/>
          <w:szCs w:val="22"/>
        </w:rPr>
        <w:t>I. etapy díla:</w:t>
      </w:r>
      <w:r w:rsidR="006C6BCF">
        <w:rPr>
          <w:rFonts w:ascii="Calibri" w:hAnsi="Calibri" w:cs="Times New Roman"/>
          <w:b/>
          <w:sz w:val="22"/>
          <w:szCs w:val="22"/>
        </w:rPr>
        <w:t xml:space="preserve"> 6</w:t>
      </w:r>
      <w:r w:rsidRPr="00130448">
        <w:rPr>
          <w:rFonts w:ascii="Calibri" w:hAnsi="Calibri" w:cs="Times New Roman"/>
          <w:b/>
          <w:sz w:val="22"/>
          <w:szCs w:val="22"/>
        </w:rPr>
        <w:t>0 kalendářních dnů od předání a převzetí staveniště.</w:t>
      </w:r>
    </w:p>
    <w:p w:rsidR="00130448" w:rsidRPr="00130448" w:rsidRDefault="00130448" w:rsidP="001304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sidRPr="00130448">
        <w:rPr>
          <w:rFonts w:ascii="Calibri" w:hAnsi="Calibri" w:cs="Times New Roman"/>
          <w:sz w:val="22"/>
          <w:szCs w:val="22"/>
        </w:rPr>
        <w:t>Předpokládaný termín předání staveniště a zahájení prací:</w:t>
      </w:r>
      <w:r w:rsidRPr="00130448">
        <w:rPr>
          <w:rFonts w:ascii="Calibri" w:hAnsi="Calibri" w:cs="Times New Roman"/>
          <w:b/>
          <w:sz w:val="22"/>
          <w:szCs w:val="22"/>
        </w:rPr>
        <w:t xml:space="preserve"> </w:t>
      </w:r>
      <w:r>
        <w:rPr>
          <w:rFonts w:ascii="Calibri" w:hAnsi="Calibri" w:cs="Times New Roman"/>
          <w:b/>
          <w:sz w:val="22"/>
          <w:szCs w:val="22"/>
        </w:rPr>
        <w:t>duben</w:t>
      </w:r>
      <w:r w:rsidRPr="00130448">
        <w:rPr>
          <w:rFonts w:ascii="Calibri" w:hAnsi="Calibri" w:cs="Times New Roman"/>
          <w:b/>
          <w:sz w:val="22"/>
          <w:szCs w:val="22"/>
        </w:rPr>
        <w:t xml:space="preserve"> 201</w:t>
      </w:r>
      <w:r>
        <w:rPr>
          <w:rFonts w:ascii="Calibri" w:hAnsi="Calibri" w:cs="Times New Roman"/>
          <w:b/>
          <w:sz w:val="22"/>
          <w:szCs w:val="22"/>
        </w:rPr>
        <w:t>8</w:t>
      </w:r>
      <w:r w:rsidRPr="00130448">
        <w:rPr>
          <w:rFonts w:ascii="Calibri" w:hAnsi="Calibri" w:cs="Times New Roman"/>
          <w:b/>
          <w:sz w:val="22"/>
          <w:szCs w:val="22"/>
        </w:rPr>
        <w:t>.</w:t>
      </w:r>
    </w:p>
    <w:p w:rsidR="00130448" w:rsidRDefault="00130448" w:rsidP="001304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b/>
          <w:sz w:val="22"/>
          <w:szCs w:val="22"/>
        </w:rPr>
      </w:pPr>
    </w:p>
    <w:p w:rsidR="00130448" w:rsidRDefault="00130448" w:rsidP="001304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b/>
          <w:sz w:val="22"/>
          <w:szCs w:val="22"/>
        </w:rPr>
      </w:pPr>
      <w:r>
        <w:rPr>
          <w:rFonts w:ascii="Calibri" w:hAnsi="Calibri"/>
          <w:szCs w:val="22"/>
        </w:rPr>
        <w:tab/>
      </w:r>
      <w:r>
        <w:rPr>
          <w:rFonts w:ascii="Calibri" w:hAnsi="Calibri" w:cs="Times New Roman"/>
          <w:sz w:val="22"/>
          <w:szCs w:val="22"/>
        </w:rPr>
        <w:t>4.1.3</w:t>
      </w:r>
      <w:r>
        <w:rPr>
          <w:rFonts w:ascii="Calibri" w:hAnsi="Calibri" w:cs="Times New Roman"/>
          <w:sz w:val="22"/>
          <w:szCs w:val="22"/>
        </w:rPr>
        <w:tab/>
      </w:r>
      <w:r w:rsidRPr="00130448">
        <w:rPr>
          <w:rFonts w:ascii="Calibri" w:hAnsi="Calibri" w:cs="Times New Roman"/>
          <w:sz w:val="22"/>
          <w:szCs w:val="22"/>
        </w:rPr>
        <w:t xml:space="preserve">Termín provedení </w:t>
      </w:r>
      <w:r>
        <w:rPr>
          <w:rFonts w:ascii="Calibri" w:hAnsi="Calibri" w:cs="Times New Roman"/>
          <w:sz w:val="22"/>
          <w:szCs w:val="22"/>
        </w:rPr>
        <w:t>II</w:t>
      </w:r>
      <w:r w:rsidRPr="00130448">
        <w:rPr>
          <w:rFonts w:ascii="Calibri" w:hAnsi="Calibri" w:cs="Times New Roman"/>
          <w:sz w:val="22"/>
          <w:szCs w:val="22"/>
        </w:rPr>
        <w:t>I. etapy díla:</w:t>
      </w:r>
      <w:r w:rsidR="006C6BCF">
        <w:rPr>
          <w:rFonts w:ascii="Calibri" w:hAnsi="Calibri" w:cs="Times New Roman"/>
          <w:b/>
          <w:sz w:val="22"/>
          <w:szCs w:val="22"/>
        </w:rPr>
        <w:t xml:space="preserve"> 6</w:t>
      </w:r>
      <w:r w:rsidRPr="00130448">
        <w:rPr>
          <w:rFonts w:ascii="Calibri" w:hAnsi="Calibri" w:cs="Times New Roman"/>
          <w:b/>
          <w:sz w:val="22"/>
          <w:szCs w:val="22"/>
        </w:rPr>
        <w:t>0 kalendářních dnů od předání a převzetí staveniště.</w:t>
      </w:r>
    </w:p>
    <w:p w:rsidR="00130448" w:rsidRPr="00130448" w:rsidRDefault="00130448" w:rsidP="001304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sidRPr="00130448">
        <w:rPr>
          <w:rFonts w:ascii="Calibri" w:hAnsi="Calibri" w:cs="Times New Roman"/>
          <w:sz w:val="22"/>
          <w:szCs w:val="22"/>
        </w:rPr>
        <w:t>Předpokládaný termín předání s</w:t>
      </w:r>
      <w:bookmarkStart w:id="0" w:name="_GoBack"/>
      <w:bookmarkEnd w:id="0"/>
      <w:r w:rsidRPr="00130448">
        <w:rPr>
          <w:rFonts w:ascii="Calibri" w:hAnsi="Calibri" w:cs="Times New Roman"/>
          <w:sz w:val="22"/>
          <w:szCs w:val="22"/>
        </w:rPr>
        <w:t>taveniště a zahájení prací:</w:t>
      </w:r>
      <w:r w:rsidRPr="00130448">
        <w:rPr>
          <w:rFonts w:ascii="Calibri" w:hAnsi="Calibri" w:cs="Times New Roman"/>
          <w:b/>
          <w:sz w:val="22"/>
          <w:szCs w:val="22"/>
        </w:rPr>
        <w:t xml:space="preserve"> </w:t>
      </w:r>
      <w:r>
        <w:rPr>
          <w:rFonts w:ascii="Calibri" w:hAnsi="Calibri" w:cs="Times New Roman"/>
          <w:b/>
          <w:sz w:val="22"/>
          <w:szCs w:val="22"/>
        </w:rPr>
        <w:t>duben</w:t>
      </w:r>
      <w:r w:rsidRPr="00130448">
        <w:rPr>
          <w:rFonts w:ascii="Calibri" w:hAnsi="Calibri" w:cs="Times New Roman"/>
          <w:b/>
          <w:sz w:val="22"/>
          <w:szCs w:val="22"/>
        </w:rPr>
        <w:t xml:space="preserve"> 201</w:t>
      </w:r>
      <w:r>
        <w:rPr>
          <w:rFonts w:ascii="Calibri" w:hAnsi="Calibri" w:cs="Times New Roman"/>
          <w:b/>
          <w:sz w:val="22"/>
          <w:szCs w:val="22"/>
        </w:rPr>
        <w:t>8</w:t>
      </w:r>
      <w:r w:rsidRPr="00130448">
        <w:rPr>
          <w:rFonts w:ascii="Calibri" w:hAnsi="Calibri" w:cs="Times New Roman"/>
          <w:b/>
          <w:sz w:val="22"/>
          <w:szCs w:val="22"/>
        </w:rPr>
        <w:t>.</w:t>
      </w:r>
    </w:p>
    <w:p w:rsidR="0092397D" w:rsidRDefault="0092397D" w:rsidP="0092397D">
      <w:pPr>
        <w:pStyle w:val="Import6"/>
        <w:tabs>
          <w:tab w:val="clear" w:pos="720"/>
          <w:tab w:val="left" w:pos="426"/>
        </w:tabs>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lastRenderedPageBreak/>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C66A96">
        <w:rPr>
          <w:rFonts w:ascii="Calibri" w:hAnsi="Calibri" w:cs="Times New Roman"/>
          <w:sz w:val="22"/>
          <w:szCs w:val="22"/>
        </w:rPr>
        <w:t>pro provedení díla dle odst. 4.1</w:t>
      </w:r>
      <w:r w:rsidR="00036714" w:rsidRPr="001C49C2">
        <w:rPr>
          <w:rFonts w:ascii="Calibri" w:hAnsi="Calibri" w:cs="Times New Roman"/>
          <w:sz w:val="22"/>
          <w:szCs w:val="22"/>
        </w:rPr>
        <w:t xml:space="preserve">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stavebního povolení, které bude zhotoviteli předáno před zahájením realizace díla</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před zahájením realizace </w:t>
      </w:r>
      <w:r w:rsidR="001B6E81">
        <w:rPr>
          <w:rFonts w:ascii="Calibri" w:hAnsi="Calibri"/>
        </w:rPr>
        <w:t xml:space="preserve">každé </w:t>
      </w:r>
      <w:r w:rsidR="00BD6C47">
        <w:rPr>
          <w:rFonts w:ascii="Calibri" w:hAnsi="Calibri"/>
        </w:rPr>
        <w:t xml:space="preserve">etapy </w:t>
      </w:r>
      <w:r w:rsidRPr="00341130">
        <w:rPr>
          <w:rFonts w:ascii="Calibri" w:hAnsi="Calibri"/>
        </w:rPr>
        <w:t>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 a rozpočtu, pokud budou nutné.</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každé</w:t>
      </w:r>
      <w:r w:rsidRPr="00341130">
        <w:rPr>
          <w:rFonts w:ascii="Calibri" w:hAnsi="Calibri"/>
        </w:rPr>
        <w:t xml:space="preserve"> </w:t>
      </w:r>
      <w:r w:rsidR="00BD6C47">
        <w:rPr>
          <w:rFonts w:ascii="Calibri" w:hAnsi="Calibri"/>
        </w:rPr>
        <w:t xml:space="preserve">etapy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6F367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6F3678">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6F367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6F3678">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 uživatelů objektu včetně označení a osvětlení prostoru staveniště a překážek (např. ochranné stříšky, zábrany, tabulky, atd.),</w:t>
      </w:r>
    </w:p>
    <w:p w:rsidR="00FC5926" w:rsidRDefault="00FC5926" w:rsidP="006F3678">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AA5B72" w:rsidRDefault="00F50ADD" w:rsidP="006F3678">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C66A96" w:rsidRPr="00C66A96" w:rsidRDefault="00C66A96" w:rsidP="00C66A96">
      <w:pPr>
        <w:pStyle w:val="Odstavecseseznamem"/>
        <w:numPr>
          <w:ilvl w:val="0"/>
          <w:numId w:val="19"/>
        </w:numPr>
        <w:rPr>
          <w:rFonts w:ascii="Calibri" w:hAnsi="Calibri"/>
          <w:noProof/>
          <w:sz w:val="22"/>
          <w:szCs w:val="22"/>
        </w:rPr>
      </w:pPr>
      <w:r>
        <w:rPr>
          <w:rFonts w:ascii="Calibri" w:hAnsi="Calibri"/>
          <w:noProof/>
          <w:sz w:val="22"/>
          <w:szCs w:val="22"/>
        </w:rPr>
        <w:t>zabezpečení koordinace stavby</w:t>
      </w:r>
      <w:r w:rsidRPr="00C66A96">
        <w:rPr>
          <w:rFonts w:ascii="Calibri" w:hAnsi="Calibri"/>
          <w:noProof/>
          <w:sz w:val="22"/>
          <w:szCs w:val="22"/>
        </w:rPr>
        <w:t xml:space="preserve"> s koordinátorem BOZP</w:t>
      </w:r>
      <w:r>
        <w:rPr>
          <w:rFonts w:ascii="Calibri" w:hAnsi="Calibri"/>
          <w:noProof/>
          <w:sz w:val="22"/>
          <w:szCs w:val="22"/>
        </w:rPr>
        <w:t>,</w:t>
      </w:r>
    </w:p>
    <w:p w:rsidR="00FC5926" w:rsidRDefault="00FC5926" w:rsidP="00FC5926">
      <w:pPr>
        <w:autoSpaceDE w:val="0"/>
        <w:autoSpaceDN w:val="0"/>
        <w:adjustRightInd w:val="0"/>
        <w:ind w:left="1080" w:firstLine="0"/>
        <w:rPr>
          <w:rFonts w:ascii="Calibri" w:hAnsi="Calibri" w:cs="Arial"/>
        </w:rPr>
      </w:pPr>
    </w:p>
    <w:p w:rsidR="00354722" w:rsidRDefault="00354722" w:rsidP="00FC5926">
      <w:pPr>
        <w:autoSpaceDE w:val="0"/>
        <w:autoSpaceDN w:val="0"/>
        <w:adjustRightInd w:val="0"/>
        <w:ind w:left="1080" w:firstLine="0"/>
        <w:rPr>
          <w:rFonts w:ascii="Calibri" w:hAnsi="Calibri" w:cs="Arial"/>
        </w:rPr>
      </w:pPr>
    </w:p>
    <w:p w:rsidR="00354722" w:rsidRPr="00341130" w:rsidRDefault="00354722"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lastRenderedPageBreak/>
        <w:tab/>
      </w:r>
      <w:r w:rsidRPr="00341130">
        <w:rPr>
          <w:rFonts w:ascii="Calibri" w:hAnsi="Calibri"/>
        </w:rPr>
        <w:t>C)  při přejímce</w:t>
      </w:r>
      <w:r w:rsidR="001B6E81">
        <w:rPr>
          <w:rFonts w:ascii="Calibri" w:hAnsi="Calibri"/>
        </w:rPr>
        <w:t xml:space="preserve"> každé</w:t>
      </w:r>
      <w:r w:rsidRPr="00341130">
        <w:rPr>
          <w:rFonts w:ascii="Calibri" w:hAnsi="Calibri"/>
        </w:rPr>
        <w:t xml:space="preserve"> realizované</w:t>
      </w:r>
      <w:r w:rsidR="001B6E81">
        <w:rPr>
          <w:rFonts w:ascii="Calibri" w:hAnsi="Calibri"/>
        </w:rPr>
        <w:t xml:space="preserve"> etapy</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každé</w:t>
      </w:r>
      <w:r w:rsidR="00811FA4">
        <w:rPr>
          <w:rFonts w:ascii="Calibri" w:hAnsi="Calibri" w:cs="Arial"/>
        </w:rPr>
        <w:t xml:space="preserve"> </w:t>
      </w:r>
      <w:r w:rsidR="00BD6C47">
        <w:rPr>
          <w:rFonts w:ascii="Calibri" w:hAnsi="Calibri" w:cs="Arial"/>
        </w:rPr>
        <w:t xml:space="preserve">etapy </w:t>
      </w:r>
      <w:r w:rsidR="00811FA4">
        <w:rPr>
          <w:rFonts w:ascii="Calibri" w:hAnsi="Calibri" w:cs="Arial"/>
        </w:rPr>
        <w:t xml:space="preserve">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zhotovitel v maximální míře zamezí šíření prachu do sousedících prostor staveniště,</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4D2EA5">
        <w:rPr>
          <w:rFonts w:ascii="Calibri" w:hAnsi="Calibri" w:cs="Times New Roman"/>
          <w:sz w:val="22"/>
          <w:szCs w:val="22"/>
        </w:rPr>
        <w:t xml:space="preserve"> </w:t>
      </w:r>
      <w:r w:rsidR="006844A2" w:rsidRPr="006844A2">
        <w:rPr>
          <w:rFonts w:ascii="Calibri" w:hAnsi="Calibri" w:cs="Times New Roman"/>
          <w:sz w:val="22"/>
          <w:szCs w:val="22"/>
        </w:rPr>
        <w:t xml:space="preserve">Předání a převzetí staveniště proběhne samostatně pro každou etapu.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w:t>
      </w:r>
      <w:r w:rsidR="00FC5926" w:rsidRPr="00EA6CA4">
        <w:rPr>
          <w:rFonts w:ascii="Calibri" w:hAnsi="Calibri" w:cs="Times New Roman"/>
          <w:sz w:val="22"/>
          <w:szCs w:val="22"/>
        </w:rPr>
        <w:lastRenderedPageBreak/>
        <w:t xml:space="preserve">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 xml:space="preserve">štěné </w:t>
      </w:r>
      <w:r w:rsidR="00AE6510">
        <w:rPr>
          <w:rFonts w:ascii="Calibri" w:hAnsi="Calibri" w:cs="Times New Roman"/>
          <w:sz w:val="22"/>
          <w:szCs w:val="22"/>
        </w:rPr>
        <w:lastRenderedPageBreak/>
        <w:t>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354722" w:rsidRPr="003F1973" w:rsidRDefault="00354722"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(etapy)</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w:t>
      </w:r>
      <w:r w:rsidR="00BD6C47">
        <w:rPr>
          <w:rFonts w:ascii="Calibri" w:hAnsi="Calibri" w:cs="Times New Roman"/>
          <w:sz w:val="22"/>
          <w:szCs w:val="22"/>
        </w:rPr>
        <w:t xml:space="preserve"> (etapy)</w:t>
      </w:r>
      <w:r w:rsidR="00D378F8" w:rsidRPr="008364F5">
        <w:rPr>
          <w:rFonts w:ascii="Calibri" w:hAnsi="Calibri" w:cs="Times New Roman"/>
          <w:sz w:val="22"/>
          <w:szCs w:val="22"/>
        </w:rPr>
        <w:t>.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E70FA5">
        <w:rPr>
          <w:rFonts w:ascii="Calibri" w:hAnsi="Calibri" w:cs="Times New Roman"/>
          <w:sz w:val="22"/>
          <w:szCs w:val="22"/>
        </w:rPr>
        <w:lastRenderedPageBreak/>
        <w:t xml:space="preserve">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w:t>
      </w:r>
      <w:r w:rsidR="00BD6C47">
        <w:rPr>
          <w:rFonts w:ascii="Calibri" w:hAnsi="Calibri"/>
          <w:szCs w:val="22"/>
        </w:rPr>
        <w:t xml:space="preserve"> (samostatně pro každou etapu)</w:t>
      </w:r>
      <w:r w:rsidRPr="00110340">
        <w:rPr>
          <w:rFonts w:ascii="Calibri" w:hAnsi="Calibri"/>
          <w:szCs w:val="22"/>
        </w:rPr>
        <w:t>,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Poslední dílčí zdanitelné plnění bude uskutečněno k datu předání a převzetí díla</w:t>
      </w:r>
      <w:r w:rsidR="00BD6C47">
        <w:rPr>
          <w:rFonts w:ascii="Calibri" w:hAnsi="Calibri" w:cs="Times New Roman"/>
          <w:bCs/>
          <w:sz w:val="22"/>
          <w:szCs w:val="22"/>
        </w:rPr>
        <w:t xml:space="preserve"> (samostatně pro každou etapu)</w:t>
      </w:r>
      <w:r w:rsidRPr="00252D1A">
        <w:rPr>
          <w:rFonts w:ascii="Calibri" w:hAnsi="Calibri" w:cs="Times New Roman"/>
          <w:bCs/>
          <w:sz w:val="22"/>
          <w:szCs w:val="22"/>
        </w:rPr>
        <w:t xml:space="preserve">.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r w:rsidR="00BD6C47">
        <w:rPr>
          <w:rFonts w:ascii="Calibri" w:hAnsi="Calibri" w:cs="Times New Roman"/>
          <w:sz w:val="22"/>
          <w:szCs w:val="22"/>
        </w:rPr>
        <w:t xml:space="preserve"> a číslo etapy</w:t>
      </w:r>
      <w:r w:rsidRPr="003F1973">
        <w:rPr>
          <w:rFonts w:ascii="Calibri" w:hAnsi="Calibri" w:cs="Times New Roman"/>
          <w:sz w:val="22"/>
          <w:szCs w:val="22"/>
        </w:rPr>
        <w:t>,</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AE6510"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w:t>
      </w:r>
      <w:r w:rsidR="00354722">
        <w:rPr>
          <w:rFonts w:ascii="Calibri" w:hAnsi="Calibri" w:cs="Times New Roman"/>
          <w:sz w:val="22"/>
          <w:szCs w:val="22"/>
        </w:rPr>
        <w:t xml:space="preserve"> (etapy)</w:t>
      </w:r>
      <w:r w:rsidRPr="00C419D8">
        <w:rPr>
          <w:rFonts w:ascii="Calibri" w:hAnsi="Calibri" w:cs="Times New Roman"/>
          <w:sz w:val="22"/>
          <w:szCs w:val="22"/>
        </w:rPr>
        <w:t xml:space="preserve">,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r w:rsidR="00354722">
        <w:rPr>
          <w:rFonts w:ascii="Calibri" w:hAnsi="Calibri" w:cs="Times New Roman"/>
          <w:sz w:val="22"/>
          <w:szCs w:val="22"/>
        </w:rPr>
        <w:t xml:space="preserve"> (etapy)</w:t>
      </w:r>
      <w:r w:rsidRPr="00C419D8">
        <w:rPr>
          <w:rFonts w:ascii="Calibri" w:hAnsi="Calibri" w:cs="Times New Roman"/>
          <w:sz w:val="22"/>
          <w:szCs w:val="22"/>
        </w:rPr>
        <w:t>.</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w:t>
      </w:r>
      <w:r w:rsidRPr="00876A4F">
        <w:rPr>
          <w:rFonts w:ascii="Calibri" w:hAnsi="Calibri" w:cs="Times New Roman"/>
          <w:sz w:val="22"/>
          <w:szCs w:val="22"/>
        </w:rPr>
        <w:lastRenderedPageBreak/>
        <w:t xml:space="preserve">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w:t>
      </w:r>
      <w:r w:rsidR="00354722">
        <w:rPr>
          <w:rFonts w:ascii="Calibri" w:hAnsi="Calibri" w:cs="Times New Roman"/>
          <w:sz w:val="22"/>
          <w:szCs w:val="22"/>
        </w:rPr>
        <w:t xml:space="preserve"> etapy)</w:t>
      </w:r>
      <w:r w:rsidR="009C1EF6">
        <w:rPr>
          <w:rFonts w:ascii="Calibri" w:hAnsi="Calibri" w:cs="Times New Roman"/>
          <w:sz w:val="22"/>
          <w:szCs w:val="22"/>
        </w:rPr>
        <w:t xml:space="preserve">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 xml:space="preserve">odst. 4.1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ceny </w:t>
      </w:r>
      <w:r w:rsidR="009C01D0">
        <w:rPr>
          <w:rFonts w:ascii="Calibri" w:hAnsi="Calibri" w:cs="Times New Roman"/>
          <w:sz w:val="22"/>
          <w:szCs w:val="22"/>
        </w:rPr>
        <w:t xml:space="preserve">bez DPH </w:t>
      </w:r>
      <w:r w:rsidRPr="003F1973">
        <w:rPr>
          <w:rFonts w:ascii="Calibri" w:hAnsi="Calibri" w:cs="Times New Roman"/>
          <w:sz w:val="22"/>
          <w:szCs w:val="22"/>
        </w:rPr>
        <w:t>za</w:t>
      </w:r>
      <w:r w:rsidR="0036007C">
        <w:rPr>
          <w:rFonts w:ascii="Calibri" w:hAnsi="Calibri" w:cs="Times New Roman"/>
          <w:sz w:val="22"/>
          <w:szCs w:val="22"/>
        </w:rPr>
        <w:t xml:space="preserve"> </w:t>
      </w:r>
      <w:r w:rsidR="009C01D0">
        <w:rPr>
          <w:rFonts w:ascii="Calibri" w:hAnsi="Calibri" w:cs="Times New Roman"/>
          <w:sz w:val="22"/>
          <w:szCs w:val="22"/>
        </w:rPr>
        <w:t>příslušnou část (etapu) díla</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 xml:space="preserve">z ceny </w:t>
      </w:r>
      <w:r w:rsidR="009C01D0">
        <w:rPr>
          <w:rFonts w:ascii="Calibri" w:hAnsi="Calibri" w:cs="Times New Roman"/>
          <w:sz w:val="22"/>
          <w:szCs w:val="22"/>
        </w:rPr>
        <w:t xml:space="preserve">bez DPH </w:t>
      </w:r>
      <w:r w:rsidR="009C01D0" w:rsidRPr="003F1973">
        <w:rPr>
          <w:rFonts w:ascii="Calibri" w:hAnsi="Calibri" w:cs="Times New Roman"/>
          <w:sz w:val="22"/>
          <w:szCs w:val="22"/>
        </w:rPr>
        <w:t>za</w:t>
      </w:r>
      <w:r w:rsidR="009C01D0">
        <w:rPr>
          <w:rFonts w:ascii="Calibri" w:hAnsi="Calibri" w:cs="Times New Roman"/>
          <w:sz w:val="22"/>
          <w:szCs w:val="22"/>
        </w:rPr>
        <w:t xml:space="preserve"> příslušnou část (etapu) díla</w:t>
      </w:r>
      <w:r w:rsidR="009C01D0"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9F54E5">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9F54E5">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9F54E5">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9F54E5">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9F54E5">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5472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w:t>
      </w:r>
      <w:r w:rsidR="00383360">
        <w:rPr>
          <w:rFonts w:ascii="Calibri" w:hAnsi="Calibri" w:cs="Times New Roman"/>
          <w:sz w:val="22"/>
          <w:szCs w:val="22"/>
        </w:rPr>
        <w:lastRenderedPageBreak/>
        <w:t xml:space="preserve">pokuty </w:t>
      </w:r>
      <w:r w:rsidRPr="003F1973">
        <w:rPr>
          <w:rFonts w:ascii="Calibri" w:hAnsi="Calibri" w:cs="Times New Roman"/>
          <w:sz w:val="22"/>
          <w:szCs w:val="22"/>
        </w:rPr>
        <w:t>vedle smluvní pokuty požadovat i náhradu škody bez ohledu na sjednanou a případně též uhrazenou smluvní pokutu.</w:t>
      </w:r>
    </w:p>
    <w:p w:rsidR="00354722" w:rsidRPr="00636AC4" w:rsidRDefault="00354722" w:rsidP="0035472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E1468">
        <w:rPr>
          <w:rFonts w:ascii="Calibri" w:hAnsi="Calibri" w:cs="Times New Roman"/>
          <w:sz w:val="22"/>
          <w:szCs w:val="22"/>
        </w:rPr>
        <w:t>4</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8251AE" w:rsidRPr="008251AE" w:rsidRDefault="004C31B6" w:rsidP="008251A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 xml:space="preserve">Smluvní strany berou na vědomí, že </w:t>
      </w:r>
      <w:r w:rsidR="008251AE">
        <w:rPr>
          <w:rFonts w:ascii="Calibri" w:hAnsi="Calibri" w:cs="Times New Roman"/>
          <w:sz w:val="22"/>
          <w:szCs w:val="22"/>
        </w:rPr>
        <w:t xml:space="preserve">na tuto smlouvu se vztahuje </w:t>
      </w:r>
      <w:r w:rsidR="008251AE" w:rsidRPr="008251AE">
        <w:rPr>
          <w:rFonts w:ascii="Calibri" w:hAnsi="Calibri" w:cs="Times New Roman"/>
          <w:sz w:val="22"/>
          <w:szCs w:val="22"/>
        </w:rPr>
        <w:t>zákon č. 340/2015 Sb., o zvláštních podmínkách účinnosti některých smluv, uveřejňování těchto smluv a o registru smluv (zákon o registru smluv)</w:t>
      </w:r>
      <w:r w:rsidR="008251AE">
        <w:rPr>
          <w:rFonts w:ascii="Calibri" w:hAnsi="Calibri" w:cs="Times New Roman"/>
          <w:sz w:val="22"/>
          <w:szCs w:val="22"/>
        </w:rPr>
        <w:t xml:space="preserve">. Smluvní strany se dohodly, že </w:t>
      </w:r>
      <w:r w:rsidR="008251AE" w:rsidRPr="008251AE">
        <w:rPr>
          <w:rFonts w:ascii="Calibri" w:hAnsi="Calibri" w:cs="Times New Roman"/>
          <w:sz w:val="22"/>
          <w:szCs w:val="22"/>
        </w:rPr>
        <w:t xml:space="preserve">tuto smlouvu zašle k uveřejnění v registru smluv objednatel. </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9F3D11" w:rsidRDefault="009F3D11"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11.2</w:t>
      </w:r>
      <w:r>
        <w:rPr>
          <w:rFonts w:ascii="Calibri" w:hAnsi="Calibri" w:cs="Times New Roman"/>
          <w:sz w:val="22"/>
          <w:szCs w:val="22"/>
        </w:rPr>
        <w:tab/>
      </w:r>
      <w:r w:rsidR="001C1475">
        <w:rPr>
          <w:rFonts w:ascii="Calibri" w:hAnsi="Calibri" w:cs="Times New Roman"/>
          <w:sz w:val="22"/>
          <w:szCs w:val="22"/>
        </w:rPr>
        <w:t>S ohledem na skutečnost, že objednatel nebude mít ke dni uzavření této smlouvy zajištěno financování všech dílčích částí této smlouvy, resp. všech tří etap díla, je ú</w:t>
      </w:r>
      <w:r>
        <w:rPr>
          <w:rFonts w:ascii="Calibri" w:hAnsi="Calibri" w:cs="Times New Roman"/>
          <w:sz w:val="22"/>
          <w:szCs w:val="22"/>
        </w:rPr>
        <w:t>činnost této smlouvy stanovena zvlášť pro každou z jejích dílčích částí, resp. jednotlivých etap díla. Tato smlouva tak nabývá účinnosti takto:</w:t>
      </w:r>
    </w:p>
    <w:p w:rsidR="009F3D11" w:rsidRDefault="009F3D11"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F3D11" w:rsidRDefault="009F3D11" w:rsidP="001C147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5" w:hanging="711"/>
        <w:rPr>
          <w:rFonts w:ascii="Calibri" w:hAnsi="Calibri" w:cs="Times New Roman"/>
          <w:sz w:val="22"/>
          <w:szCs w:val="22"/>
        </w:rPr>
      </w:pPr>
      <w:r>
        <w:rPr>
          <w:rFonts w:ascii="Calibri" w:hAnsi="Calibri" w:cs="Times New Roman"/>
          <w:sz w:val="22"/>
          <w:szCs w:val="22"/>
        </w:rPr>
        <w:t>11.2.1</w:t>
      </w:r>
      <w:r>
        <w:rPr>
          <w:rFonts w:ascii="Calibri" w:hAnsi="Calibri" w:cs="Times New Roman"/>
          <w:sz w:val="22"/>
          <w:szCs w:val="22"/>
        </w:rPr>
        <w:tab/>
        <w:t>Dílčí část této smlouvy zahrnující I. etapu díla</w:t>
      </w:r>
      <w:r w:rsidR="001C1475">
        <w:rPr>
          <w:rFonts w:ascii="Calibri" w:hAnsi="Calibri" w:cs="Times New Roman"/>
          <w:sz w:val="22"/>
          <w:szCs w:val="22"/>
        </w:rPr>
        <w:t>, na kterou má objednatel zajištěno financování,</w:t>
      </w:r>
      <w:r>
        <w:rPr>
          <w:rFonts w:ascii="Calibri" w:hAnsi="Calibri" w:cs="Times New Roman"/>
          <w:sz w:val="22"/>
          <w:szCs w:val="22"/>
        </w:rPr>
        <w:t xml:space="preserve"> nabývá účinnosti</w:t>
      </w:r>
      <w:r w:rsidR="001C1475">
        <w:rPr>
          <w:rFonts w:ascii="Calibri" w:hAnsi="Calibri" w:cs="Times New Roman"/>
          <w:sz w:val="22"/>
          <w:szCs w:val="22"/>
        </w:rPr>
        <w:t xml:space="preserve"> dnem uveřejnění této smlouvy v registru smluv.</w:t>
      </w:r>
    </w:p>
    <w:p w:rsidR="001C1475" w:rsidRDefault="001C1475" w:rsidP="001C147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22153C" w:rsidRDefault="001C1475" w:rsidP="002215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276" w:hanging="709"/>
        <w:rPr>
          <w:rFonts w:ascii="Calibri" w:hAnsi="Calibri" w:cs="Calibri"/>
          <w:sz w:val="22"/>
          <w:szCs w:val="22"/>
        </w:rPr>
      </w:pPr>
      <w:r>
        <w:rPr>
          <w:rFonts w:ascii="Calibri" w:hAnsi="Calibri" w:cs="Times New Roman"/>
          <w:sz w:val="22"/>
          <w:szCs w:val="22"/>
        </w:rPr>
        <w:t>11.2.2</w:t>
      </w:r>
      <w:r>
        <w:rPr>
          <w:rFonts w:ascii="Calibri" w:hAnsi="Calibri" w:cs="Times New Roman"/>
          <w:sz w:val="22"/>
          <w:szCs w:val="22"/>
        </w:rPr>
        <w:tab/>
      </w:r>
      <w:r w:rsidR="0022153C">
        <w:rPr>
          <w:rFonts w:ascii="Calibri" w:hAnsi="Calibri" w:cs="Times New Roman"/>
          <w:sz w:val="22"/>
          <w:szCs w:val="22"/>
        </w:rPr>
        <w:t xml:space="preserve">V případě dílčích částí této smlouvy zahrnující II. a III. etapu díla si smluvní strany </w:t>
      </w:r>
      <w:r w:rsidR="0022153C">
        <w:rPr>
          <w:rFonts w:ascii="Calibri" w:hAnsi="Calibri" w:cs="Calibri"/>
          <w:sz w:val="22"/>
          <w:szCs w:val="22"/>
        </w:rPr>
        <w:t xml:space="preserve">sjednávají v souladu s § 548 občanského zákoníku, odkládací podmínku nabytí účinnosti této části </w:t>
      </w:r>
      <w:r w:rsidR="005640C1">
        <w:rPr>
          <w:rFonts w:ascii="Calibri" w:hAnsi="Calibri" w:cs="Calibri"/>
          <w:sz w:val="22"/>
          <w:szCs w:val="22"/>
        </w:rPr>
        <w:t>plnění</w:t>
      </w:r>
      <w:r w:rsidR="0022153C">
        <w:rPr>
          <w:rFonts w:ascii="Calibri" w:hAnsi="Calibri" w:cs="Calibri"/>
          <w:sz w:val="22"/>
          <w:szCs w:val="22"/>
        </w:rPr>
        <w:t xml:space="preserve">. </w:t>
      </w:r>
      <w:r w:rsidR="005640C1">
        <w:rPr>
          <w:rFonts w:ascii="Calibri" w:hAnsi="Calibri" w:cs="Calibri"/>
          <w:sz w:val="22"/>
          <w:szCs w:val="22"/>
        </w:rPr>
        <w:t>Dílčí část této smlouvy zahrnující II</w:t>
      </w:r>
      <w:r w:rsidR="0022153C">
        <w:rPr>
          <w:rFonts w:ascii="Calibri" w:hAnsi="Calibri" w:cs="Calibri"/>
          <w:sz w:val="22"/>
          <w:szCs w:val="22"/>
        </w:rPr>
        <w:t>. a III. etap</w:t>
      </w:r>
      <w:r w:rsidR="005640C1">
        <w:rPr>
          <w:rFonts w:ascii="Calibri" w:hAnsi="Calibri" w:cs="Calibri"/>
          <w:sz w:val="22"/>
          <w:szCs w:val="22"/>
        </w:rPr>
        <w:t>u</w:t>
      </w:r>
      <w:r w:rsidR="0022153C">
        <w:rPr>
          <w:rFonts w:ascii="Calibri" w:hAnsi="Calibri" w:cs="Calibri"/>
          <w:sz w:val="22"/>
          <w:szCs w:val="22"/>
        </w:rPr>
        <w:t xml:space="preserve"> díla nabývá účinnosti následujícím pracovním dnem po dni</w:t>
      </w:r>
      <w:r w:rsidR="0022153C" w:rsidRPr="00C829BA">
        <w:rPr>
          <w:rFonts w:ascii="Calibri" w:hAnsi="Calibri" w:cs="Calibri"/>
          <w:sz w:val="22"/>
          <w:szCs w:val="22"/>
        </w:rPr>
        <w:t xml:space="preserve"> schválení finančních prostředků na realizaci</w:t>
      </w:r>
      <w:r w:rsidR="0022153C">
        <w:rPr>
          <w:rFonts w:ascii="Calibri" w:hAnsi="Calibri" w:cs="Calibri"/>
          <w:sz w:val="22"/>
          <w:szCs w:val="22"/>
        </w:rPr>
        <w:t xml:space="preserve"> </w:t>
      </w:r>
      <w:r w:rsidR="005640C1">
        <w:rPr>
          <w:rFonts w:ascii="Calibri" w:hAnsi="Calibri" w:cs="Calibri"/>
          <w:sz w:val="22"/>
          <w:szCs w:val="22"/>
        </w:rPr>
        <w:t>příslušné</w:t>
      </w:r>
      <w:r w:rsidR="0022153C">
        <w:rPr>
          <w:rFonts w:ascii="Calibri" w:hAnsi="Calibri" w:cs="Calibri"/>
          <w:sz w:val="22"/>
          <w:szCs w:val="22"/>
        </w:rPr>
        <w:t xml:space="preserve"> části</w:t>
      </w:r>
      <w:r w:rsidR="0022153C" w:rsidRPr="00C829BA">
        <w:rPr>
          <w:rFonts w:ascii="Calibri" w:hAnsi="Calibri" w:cs="Calibri"/>
          <w:sz w:val="22"/>
          <w:szCs w:val="22"/>
        </w:rPr>
        <w:t xml:space="preserve"> plnění</w:t>
      </w:r>
      <w:r w:rsidR="005640C1">
        <w:rPr>
          <w:rFonts w:ascii="Calibri" w:hAnsi="Calibri" w:cs="Calibri"/>
          <w:sz w:val="22"/>
          <w:szCs w:val="22"/>
        </w:rPr>
        <w:t xml:space="preserve"> (příslušné etapy)</w:t>
      </w:r>
      <w:r w:rsidR="0022153C" w:rsidRPr="00C829BA">
        <w:rPr>
          <w:rFonts w:ascii="Calibri" w:hAnsi="Calibri" w:cs="Calibri"/>
          <w:sz w:val="22"/>
          <w:szCs w:val="22"/>
        </w:rPr>
        <w:t xml:space="preserve"> dle této smlouvy v plné výši v rozpočtu statutárního města Ostravy, městského obvodu Moravská Ostrava</w:t>
      </w:r>
      <w:r w:rsidR="0022153C">
        <w:rPr>
          <w:rFonts w:ascii="Calibri" w:hAnsi="Calibri" w:cs="Calibri"/>
          <w:sz w:val="22"/>
          <w:szCs w:val="22"/>
        </w:rPr>
        <w:t xml:space="preserve"> a Přívoz</w:t>
      </w:r>
      <w:r w:rsidR="0022153C">
        <w:rPr>
          <w:rFonts w:ascii="Calibri" w:hAnsi="Calibri" w:cs="Times New Roman"/>
          <w:sz w:val="22"/>
          <w:szCs w:val="22"/>
        </w:rPr>
        <w:t>.</w:t>
      </w:r>
      <w:r w:rsidR="0022153C">
        <w:rPr>
          <w:rFonts w:ascii="Calibri" w:hAnsi="Calibri" w:cs="Calibri"/>
          <w:sz w:val="22"/>
          <w:szCs w:val="22"/>
        </w:rPr>
        <w:t xml:space="preserve"> Objednatel zašle zhotoviteli písemné oznámení o </w:t>
      </w:r>
      <w:r w:rsidR="00306016">
        <w:rPr>
          <w:rFonts w:ascii="Calibri" w:hAnsi="Calibri" w:cs="Calibri"/>
          <w:sz w:val="22"/>
          <w:szCs w:val="22"/>
        </w:rPr>
        <w:t>schválení finančních prostředků, a to bezodkladně po jejich schválení</w:t>
      </w:r>
      <w:r w:rsidR="0022153C">
        <w:rPr>
          <w:rFonts w:ascii="Calibri" w:hAnsi="Calibri" w:cs="Calibri"/>
          <w:sz w:val="22"/>
          <w:szCs w:val="22"/>
        </w:rPr>
        <w:t xml:space="preserve">. Za objednatele je oprávněna toto oznámení vyhotovit osoba oprávněná jej zastupovat ve věcech technických. </w:t>
      </w:r>
    </w:p>
    <w:p w:rsidR="00CB3D20" w:rsidRDefault="00CB3D20" w:rsidP="002215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lastRenderedPageBreak/>
        <w:t xml:space="preserve">Tato smlouva je sepsána ve třech (3)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/2017/OIMH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91" w:rsidRDefault="00FB3D91">
      <w:r>
        <w:separator/>
      </w:r>
    </w:p>
    <w:p w:rsidR="00FB3D91" w:rsidRDefault="00FB3D91"/>
    <w:p w:rsidR="00FB3D91" w:rsidRDefault="00FB3D91" w:rsidP="003A4FAD"/>
    <w:p w:rsidR="00FB3D91" w:rsidRDefault="00FB3D91"/>
    <w:p w:rsidR="00FB3D91" w:rsidRDefault="00FB3D91"/>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p w:rsidR="00FB3D91" w:rsidRDefault="00FB3D91"/>
    <w:p w:rsidR="00FB3D91" w:rsidRDefault="00FB3D91"/>
    <w:p w:rsidR="00FB3D91" w:rsidRDefault="00FB3D91" w:rsidP="00F75207"/>
    <w:p w:rsidR="00FB3D91" w:rsidRDefault="00FB3D91" w:rsidP="00F75207"/>
    <w:p w:rsidR="00FB3D91" w:rsidRDefault="00FB3D91"/>
    <w:p w:rsidR="00FB3D91" w:rsidRDefault="00FB3D91"/>
    <w:p w:rsidR="00FB3D91" w:rsidRDefault="00FB3D91"/>
    <w:p w:rsidR="00FB3D91" w:rsidRDefault="00FB3D91" w:rsidP="008A2932"/>
    <w:p w:rsidR="00FB3D91" w:rsidRDefault="00FB3D91"/>
    <w:p w:rsidR="00FB3D91" w:rsidRDefault="00FB3D91" w:rsidP="00341130"/>
    <w:p w:rsidR="00FB3D91" w:rsidRDefault="00FB3D91"/>
    <w:p w:rsidR="00FB3D91" w:rsidRDefault="00FB3D91" w:rsidP="004D65EC"/>
    <w:p w:rsidR="00FB3D91" w:rsidRDefault="00FB3D91"/>
    <w:p w:rsidR="00FB3D91" w:rsidRDefault="00FB3D91" w:rsidP="00F0468D"/>
    <w:p w:rsidR="00FB3D91" w:rsidRDefault="00FB3D91" w:rsidP="00F0468D"/>
    <w:p w:rsidR="00FB3D91" w:rsidRDefault="00FB3D91" w:rsidP="00F0468D"/>
    <w:p w:rsidR="00FB3D91" w:rsidRDefault="00FB3D91" w:rsidP="00F24506"/>
    <w:p w:rsidR="00FB3D91" w:rsidRDefault="00FB3D91" w:rsidP="00F24506"/>
    <w:p w:rsidR="00FB3D91" w:rsidRDefault="00FB3D91" w:rsidP="00F24506"/>
    <w:p w:rsidR="00FB3D91" w:rsidRDefault="00FB3D91" w:rsidP="00F24506"/>
    <w:p w:rsidR="00FB3D91" w:rsidRDefault="00FB3D91" w:rsidP="00F24506"/>
    <w:p w:rsidR="00FB3D91" w:rsidRDefault="00FB3D91"/>
    <w:p w:rsidR="00FB3D91" w:rsidRDefault="00FB3D91" w:rsidP="002632B7"/>
    <w:p w:rsidR="00FB3D91" w:rsidRDefault="00FB3D91" w:rsidP="00BC5006"/>
    <w:p w:rsidR="00FB3D91" w:rsidRDefault="00FB3D91"/>
    <w:p w:rsidR="00FB3D91" w:rsidRDefault="00FB3D91"/>
    <w:p w:rsidR="00FB3D91" w:rsidRDefault="00FB3D91"/>
    <w:p w:rsidR="00FB3D91" w:rsidRDefault="00FB3D91" w:rsidP="006F2FCD"/>
    <w:p w:rsidR="00FB3D91" w:rsidRDefault="00FB3D91"/>
    <w:p w:rsidR="00FB3D91" w:rsidRDefault="00FB3D91"/>
    <w:p w:rsidR="00FB3D91" w:rsidRDefault="00FB3D91" w:rsidP="00642E62"/>
    <w:p w:rsidR="00FB3D91" w:rsidRDefault="00FB3D91"/>
    <w:p w:rsidR="00FB3D91" w:rsidRDefault="00FB3D91" w:rsidP="00E23ADF"/>
    <w:p w:rsidR="00FB3D91" w:rsidRDefault="00FB3D91" w:rsidP="00E23ADF"/>
    <w:p w:rsidR="00FB3D91" w:rsidRDefault="00FB3D91" w:rsidP="00E23ADF"/>
    <w:p w:rsidR="00FB3D91" w:rsidRDefault="00FB3D91"/>
    <w:p w:rsidR="00FB3D91" w:rsidRDefault="00FB3D91" w:rsidP="005017E2"/>
    <w:p w:rsidR="00FB3D91" w:rsidRDefault="00FB3D91" w:rsidP="005017E2"/>
    <w:p w:rsidR="00FB3D91" w:rsidRDefault="00FB3D91" w:rsidP="005017E2"/>
    <w:p w:rsidR="00FB3D91" w:rsidRDefault="00FB3D91"/>
    <w:p w:rsidR="00FB3D91" w:rsidRDefault="00FB3D91" w:rsidP="00827DBB"/>
    <w:p w:rsidR="00FB3D91" w:rsidRDefault="00FB3D91" w:rsidP="00962D51"/>
    <w:p w:rsidR="00FB3D91" w:rsidRDefault="00FB3D91" w:rsidP="00962D51"/>
    <w:p w:rsidR="00FB3D91" w:rsidRDefault="00FB3D91"/>
    <w:p w:rsidR="00FB3D91" w:rsidRDefault="00FB3D91" w:rsidP="0041392C"/>
    <w:p w:rsidR="00FB3D91" w:rsidRDefault="00FB3D91" w:rsidP="006A387E"/>
  </w:endnote>
  <w:endnote w:type="continuationSeparator" w:id="0">
    <w:p w:rsidR="00FB3D91" w:rsidRDefault="00FB3D91">
      <w:r>
        <w:continuationSeparator/>
      </w:r>
    </w:p>
    <w:p w:rsidR="00FB3D91" w:rsidRDefault="00FB3D91"/>
    <w:p w:rsidR="00FB3D91" w:rsidRDefault="00FB3D91" w:rsidP="003A4FAD"/>
    <w:p w:rsidR="00FB3D91" w:rsidRDefault="00FB3D91"/>
    <w:p w:rsidR="00FB3D91" w:rsidRDefault="00FB3D91"/>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p w:rsidR="00FB3D91" w:rsidRDefault="00FB3D91"/>
    <w:p w:rsidR="00FB3D91" w:rsidRDefault="00FB3D91"/>
    <w:p w:rsidR="00FB3D91" w:rsidRDefault="00FB3D91" w:rsidP="00F75207"/>
    <w:p w:rsidR="00FB3D91" w:rsidRDefault="00FB3D91" w:rsidP="00F75207"/>
    <w:p w:rsidR="00FB3D91" w:rsidRDefault="00FB3D91"/>
    <w:p w:rsidR="00FB3D91" w:rsidRDefault="00FB3D91"/>
    <w:p w:rsidR="00FB3D91" w:rsidRDefault="00FB3D91"/>
    <w:p w:rsidR="00FB3D91" w:rsidRDefault="00FB3D91" w:rsidP="008A2932"/>
    <w:p w:rsidR="00FB3D91" w:rsidRDefault="00FB3D91"/>
    <w:p w:rsidR="00FB3D91" w:rsidRDefault="00FB3D91" w:rsidP="00341130"/>
    <w:p w:rsidR="00FB3D91" w:rsidRDefault="00FB3D91"/>
    <w:p w:rsidR="00FB3D91" w:rsidRDefault="00FB3D91" w:rsidP="004D65EC"/>
    <w:p w:rsidR="00FB3D91" w:rsidRDefault="00FB3D91"/>
    <w:p w:rsidR="00FB3D91" w:rsidRDefault="00FB3D91" w:rsidP="00F0468D"/>
    <w:p w:rsidR="00FB3D91" w:rsidRDefault="00FB3D91" w:rsidP="00F0468D"/>
    <w:p w:rsidR="00FB3D91" w:rsidRDefault="00FB3D91" w:rsidP="00F0468D"/>
    <w:p w:rsidR="00FB3D91" w:rsidRDefault="00FB3D91" w:rsidP="00F24506"/>
    <w:p w:rsidR="00FB3D91" w:rsidRDefault="00FB3D91" w:rsidP="00F24506"/>
    <w:p w:rsidR="00FB3D91" w:rsidRDefault="00FB3D91" w:rsidP="00F24506"/>
    <w:p w:rsidR="00FB3D91" w:rsidRDefault="00FB3D91" w:rsidP="00F24506"/>
    <w:p w:rsidR="00FB3D91" w:rsidRDefault="00FB3D91" w:rsidP="00F24506"/>
    <w:p w:rsidR="00FB3D91" w:rsidRDefault="00FB3D91"/>
    <w:p w:rsidR="00FB3D91" w:rsidRDefault="00FB3D91" w:rsidP="002632B7"/>
    <w:p w:rsidR="00FB3D91" w:rsidRDefault="00FB3D91" w:rsidP="00BC5006"/>
    <w:p w:rsidR="00FB3D91" w:rsidRDefault="00FB3D91"/>
    <w:p w:rsidR="00FB3D91" w:rsidRDefault="00FB3D91"/>
    <w:p w:rsidR="00FB3D91" w:rsidRDefault="00FB3D91"/>
    <w:p w:rsidR="00FB3D91" w:rsidRDefault="00FB3D91" w:rsidP="006F2FCD"/>
    <w:p w:rsidR="00FB3D91" w:rsidRDefault="00FB3D91"/>
    <w:p w:rsidR="00FB3D91" w:rsidRDefault="00FB3D91"/>
    <w:p w:rsidR="00FB3D91" w:rsidRDefault="00FB3D91" w:rsidP="00642E62"/>
    <w:p w:rsidR="00FB3D91" w:rsidRDefault="00FB3D91"/>
    <w:p w:rsidR="00FB3D91" w:rsidRDefault="00FB3D91" w:rsidP="00E23ADF"/>
    <w:p w:rsidR="00FB3D91" w:rsidRDefault="00FB3D91" w:rsidP="00E23ADF"/>
    <w:p w:rsidR="00FB3D91" w:rsidRDefault="00FB3D91" w:rsidP="00E23ADF"/>
    <w:p w:rsidR="00FB3D91" w:rsidRDefault="00FB3D91"/>
    <w:p w:rsidR="00FB3D91" w:rsidRDefault="00FB3D91" w:rsidP="005017E2"/>
    <w:p w:rsidR="00FB3D91" w:rsidRDefault="00FB3D91" w:rsidP="005017E2"/>
    <w:p w:rsidR="00FB3D91" w:rsidRDefault="00FB3D91" w:rsidP="005017E2"/>
    <w:p w:rsidR="00FB3D91" w:rsidRDefault="00FB3D91"/>
    <w:p w:rsidR="00FB3D91" w:rsidRDefault="00FB3D91" w:rsidP="00827DBB"/>
    <w:p w:rsidR="00FB3D91" w:rsidRDefault="00FB3D91" w:rsidP="00962D51"/>
    <w:p w:rsidR="00FB3D91" w:rsidRDefault="00FB3D91" w:rsidP="00962D51"/>
    <w:p w:rsidR="00FB3D91" w:rsidRDefault="00FB3D91"/>
    <w:p w:rsidR="00FB3D91" w:rsidRDefault="00FB3D91" w:rsidP="0041392C"/>
    <w:p w:rsidR="00FB3D91" w:rsidRDefault="00FB3D91" w:rsidP="006A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D66954" w:rsidRPr="00AC105A" w:rsidRDefault="005017E2"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1BF8D11" wp14:editId="6C938C4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C6BCF">
      <w:rPr>
        <w:rStyle w:val="slostrnky"/>
        <w:rFonts w:cs="Arial"/>
        <w:b w:val="0"/>
        <w:noProof/>
        <w:kern w:val="24"/>
      </w:rPr>
      <w:t>16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C6BCF">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F65C94" w:rsidRPr="00F65C94">
      <w:rPr>
        <w:rFonts w:ascii="Calibri" w:hAnsi="Calibri"/>
        <w:b/>
        <w:kern w:val="24"/>
        <w:sz w:val="18"/>
        <w:szCs w:val="18"/>
      </w:rPr>
      <w:t>Obměna zastaralého klimatizačního systému</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D66954" w:rsidRPr="00AC105A" w:rsidRDefault="005017E2" w:rsidP="00AC105A">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3444A95" wp14:editId="1DEE2EF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C6BCF">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C6BCF">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F65C94" w:rsidRPr="00F65C94">
      <w:rPr>
        <w:rFonts w:ascii="Calibri" w:hAnsi="Calibri"/>
        <w:b/>
        <w:kern w:val="24"/>
        <w:sz w:val="18"/>
        <w:szCs w:val="18"/>
      </w:rPr>
      <w:t>Obměna zastaralého klimatizačního systému</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91" w:rsidRDefault="00FB3D91">
      <w:r>
        <w:separator/>
      </w:r>
    </w:p>
    <w:p w:rsidR="00FB3D91" w:rsidRDefault="00FB3D91"/>
    <w:p w:rsidR="00FB3D91" w:rsidRDefault="00FB3D91" w:rsidP="003A4FAD"/>
    <w:p w:rsidR="00FB3D91" w:rsidRDefault="00FB3D91"/>
    <w:p w:rsidR="00FB3D91" w:rsidRDefault="00FB3D91"/>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p w:rsidR="00FB3D91" w:rsidRDefault="00FB3D91"/>
    <w:p w:rsidR="00FB3D91" w:rsidRDefault="00FB3D91"/>
    <w:p w:rsidR="00FB3D91" w:rsidRDefault="00FB3D91" w:rsidP="00F75207"/>
    <w:p w:rsidR="00FB3D91" w:rsidRDefault="00FB3D91" w:rsidP="00F75207"/>
    <w:p w:rsidR="00FB3D91" w:rsidRDefault="00FB3D91"/>
    <w:p w:rsidR="00FB3D91" w:rsidRDefault="00FB3D91"/>
    <w:p w:rsidR="00FB3D91" w:rsidRDefault="00FB3D91"/>
    <w:p w:rsidR="00FB3D91" w:rsidRDefault="00FB3D91" w:rsidP="008A2932"/>
    <w:p w:rsidR="00FB3D91" w:rsidRDefault="00FB3D91"/>
    <w:p w:rsidR="00FB3D91" w:rsidRDefault="00FB3D91" w:rsidP="00341130"/>
    <w:p w:rsidR="00FB3D91" w:rsidRDefault="00FB3D91"/>
    <w:p w:rsidR="00FB3D91" w:rsidRDefault="00FB3D91" w:rsidP="004D65EC"/>
    <w:p w:rsidR="00FB3D91" w:rsidRDefault="00FB3D91"/>
    <w:p w:rsidR="00FB3D91" w:rsidRDefault="00FB3D91" w:rsidP="00F0468D"/>
    <w:p w:rsidR="00FB3D91" w:rsidRDefault="00FB3D91" w:rsidP="00F0468D"/>
    <w:p w:rsidR="00FB3D91" w:rsidRDefault="00FB3D91" w:rsidP="00F0468D"/>
    <w:p w:rsidR="00FB3D91" w:rsidRDefault="00FB3D91" w:rsidP="00F24506"/>
    <w:p w:rsidR="00FB3D91" w:rsidRDefault="00FB3D91" w:rsidP="00F24506"/>
    <w:p w:rsidR="00FB3D91" w:rsidRDefault="00FB3D91" w:rsidP="00F24506"/>
    <w:p w:rsidR="00FB3D91" w:rsidRDefault="00FB3D91" w:rsidP="00F24506"/>
    <w:p w:rsidR="00FB3D91" w:rsidRDefault="00FB3D91" w:rsidP="00F24506"/>
    <w:p w:rsidR="00FB3D91" w:rsidRDefault="00FB3D91"/>
    <w:p w:rsidR="00FB3D91" w:rsidRDefault="00FB3D91" w:rsidP="002632B7"/>
    <w:p w:rsidR="00FB3D91" w:rsidRDefault="00FB3D91" w:rsidP="00BC5006"/>
    <w:p w:rsidR="00FB3D91" w:rsidRDefault="00FB3D91"/>
    <w:p w:rsidR="00FB3D91" w:rsidRDefault="00FB3D91"/>
    <w:p w:rsidR="00FB3D91" w:rsidRDefault="00FB3D91"/>
    <w:p w:rsidR="00FB3D91" w:rsidRDefault="00FB3D91" w:rsidP="006F2FCD"/>
    <w:p w:rsidR="00FB3D91" w:rsidRDefault="00FB3D91"/>
    <w:p w:rsidR="00FB3D91" w:rsidRDefault="00FB3D91"/>
    <w:p w:rsidR="00FB3D91" w:rsidRDefault="00FB3D91" w:rsidP="00642E62"/>
    <w:p w:rsidR="00FB3D91" w:rsidRDefault="00FB3D91"/>
    <w:p w:rsidR="00FB3D91" w:rsidRDefault="00FB3D91" w:rsidP="00E23ADF"/>
    <w:p w:rsidR="00FB3D91" w:rsidRDefault="00FB3D91" w:rsidP="00E23ADF"/>
    <w:p w:rsidR="00FB3D91" w:rsidRDefault="00FB3D91" w:rsidP="00E23ADF"/>
    <w:p w:rsidR="00FB3D91" w:rsidRDefault="00FB3D91"/>
    <w:p w:rsidR="00FB3D91" w:rsidRDefault="00FB3D91" w:rsidP="005017E2"/>
    <w:p w:rsidR="00FB3D91" w:rsidRDefault="00FB3D91" w:rsidP="005017E2"/>
    <w:p w:rsidR="00FB3D91" w:rsidRDefault="00FB3D91" w:rsidP="005017E2"/>
    <w:p w:rsidR="00FB3D91" w:rsidRDefault="00FB3D91"/>
    <w:p w:rsidR="00FB3D91" w:rsidRDefault="00FB3D91" w:rsidP="00827DBB"/>
    <w:p w:rsidR="00FB3D91" w:rsidRDefault="00FB3D91" w:rsidP="00962D51"/>
    <w:p w:rsidR="00FB3D91" w:rsidRDefault="00FB3D91" w:rsidP="00962D51"/>
    <w:p w:rsidR="00FB3D91" w:rsidRDefault="00FB3D91"/>
    <w:p w:rsidR="00FB3D91" w:rsidRDefault="00FB3D91" w:rsidP="0041392C"/>
    <w:p w:rsidR="00FB3D91" w:rsidRDefault="00FB3D91" w:rsidP="006A387E"/>
  </w:footnote>
  <w:footnote w:type="continuationSeparator" w:id="0">
    <w:p w:rsidR="00FB3D91" w:rsidRDefault="00FB3D91">
      <w:r>
        <w:continuationSeparator/>
      </w:r>
    </w:p>
    <w:p w:rsidR="00FB3D91" w:rsidRDefault="00FB3D91"/>
    <w:p w:rsidR="00FB3D91" w:rsidRDefault="00FB3D91" w:rsidP="003A4FAD"/>
    <w:p w:rsidR="00FB3D91" w:rsidRDefault="00FB3D91"/>
    <w:p w:rsidR="00FB3D91" w:rsidRDefault="00FB3D91"/>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rsidP="00911049"/>
    <w:p w:rsidR="00FB3D91" w:rsidRDefault="00FB3D91"/>
    <w:p w:rsidR="00FB3D91" w:rsidRDefault="00FB3D91"/>
    <w:p w:rsidR="00FB3D91" w:rsidRDefault="00FB3D91"/>
    <w:p w:rsidR="00FB3D91" w:rsidRDefault="00FB3D91" w:rsidP="00F75207"/>
    <w:p w:rsidR="00FB3D91" w:rsidRDefault="00FB3D91" w:rsidP="00F75207"/>
    <w:p w:rsidR="00FB3D91" w:rsidRDefault="00FB3D91"/>
    <w:p w:rsidR="00FB3D91" w:rsidRDefault="00FB3D91"/>
    <w:p w:rsidR="00FB3D91" w:rsidRDefault="00FB3D91"/>
    <w:p w:rsidR="00FB3D91" w:rsidRDefault="00FB3D91" w:rsidP="008A2932"/>
    <w:p w:rsidR="00FB3D91" w:rsidRDefault="00FB3D91"/>
    <w:p w:rsidR="00FB3D91" w:rsidRDefault="00FB3D91" w:rsidP="00341130"/>
    <w:p w:rsidR="00FB3D91" w:rsidRDefault="00FB3D91"/>
    <w:p w:rsidR="00FB3D91" w:rsidRDefault="00FB3D91" w:rsidP="004D65EC"/>
    <w:p w:rsidR="00FB3D91" w:rsidRDefault="00FB3D91"/>
    <w:p w:rsidR="00FB3D91" w:rsidRDefault="00FB3D91" w:rsidP="00F0468D"/>
    <w:p w:rsidR="00FB3D91" w:rsidRDefault="00FB3D91" w:rsidP="00F0468D"/>
    <w:p w:rsidR="00FB3D91" w:rsidRDefault="00FB3D91" w:rsidP="00F0468D"/>
    <w:p w:rsidR="00FB3D91" w:rsidRDefault="00FB3D91" w:rsidP="00F24506"/>
    <w:p w:rsidR="00FB3D91" w:rsidRDefault="00FB3D91" w:rsidP="00F24506"/>
    <w:p w:rsidR="00FB3D91" w:rsidRDefault="00FB3D91" w:rsidP="00F24506"/>
    <w:p w:rsidR="00FB3D91" w:rsidRDefault="00FB3D91" w:rsidP="00F24506"/>
    <w:p w:rsidR="00FB3D91" w:rsidRDefault="00FB3D91" w:rsidP="00F24506"/>
    <w:p w:rsidR="00FB3D91" w:rsidRDefault="00FB3D91"/>
    <w:p w:rsidR="00FB3D91" w:rsidRDefault="00FB3D91" w:rsidP="002632B7"/>
    <w:p w:rsidR="00FB3D91" w:rsidRDefault="00FB3D91" w:rsidP="00BC5006"/>
    <w:p w:rsidR="00FB3D91" w:rsidRDefault="00FB3D91"/>
    <w:p w:rsidR="00FB3D91" w:rsidRDefault="00FB3D91"/>
    <w:p w:rsidR="00FB3D91" w:rsidRDefault="00FB3D91"/>
    <w:p w:rsidR="00FB3D91" w:rsidRDefault="00FB3D91" w:rsidP="006F2FCD"/>
    <w:p w:rsidR="00FB3D91" w:rsidRDefault="00FB3D91"/>
    <w:p w:rsidR="00FB3D91" w:rsidRDefault="00FB3D91"/>
    <w:p w:rsidR="00FB3D91" w:rsidRDefault="00FB3D91" w:rsidP="00642E62"/>
    <w:p w:rsidR="00FB3D91" w:rsidRDefault="00FB3D91"/>
    <w:p w:rsidR="00FB3D91" w:rsidRDefault="00FB3D91" w:rsidP="00E23ADF"/>
    <w:p w:rsidR="00FB3D91" w:rsidRDefault="00FB3D91" w:rsidP="00E23ADF"/>
    <w:p w:rsidR="00FB3D91" w:rsidRDefault="00FB3D91" w:rsidP="00E23ADF"/>
    <w:p w:rsidR="00FB3D91" w:rsidRDefault="00FB3D91"/>
    <w:p w:rsidR="00FB3D91" w:rsidRDefault="00FB3D91" w:rsidP="005017E2"/>
    <w:p w:rsidR="00FB3D91" w:rsidRDefault="00FB3D91" w:rsidP="005017E2"/>
    <w:p w:rsidR="00FB3D91" w:rsidRDefault="00FB3D91" w:rsidP="005017E2"/>
    <w:p w:rsidR="00FB3D91" w:rsidRDefault="00FB3D91"/>
    <w:p w:rsidR="00FB3D91" w:rsidRDefault="00FB3D91" w:rsidP="00827DBB"/>
    <w:p w:rsidR="00FB3D91" w:rsidRDefault="00FB3D91" w:rsidP="00962D51"/>
    <w:p w:rsidR="00FB3D91" w:rsidRDefault="00FB3D91" w:rsidP="00962D51"/>
    <w:p w:rsidR="00FB3D91" w:rsidRDefault="00FB3D91"/>
    <w:p w:rsidR="00FB3D91" w:rsidRDefault="00FB3D91" w:rsidP="0041392C"/>
    <w:p w:rsidR="00FB3D91" w:rsidRDefault="00FB3D91" w:rsidP="006A3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D66954" w:rsidRDefault="00D66954" w:rsidP="0041392C"/>
  <w:p w:rsidR="00D66954" w:rsidRDefault="00D66954" w:rsidP="006A38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D66954" w:rsidRDefault="00D66954" w:rsidP="00AC105A">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0"/>
  </w:num>
  <w:num w:numId="3">
    <w:abstractNumId w:val="19"/>
  </w:num>
  <w:num w:numId="4">
    <w:abstractNumId w:val="3"/>
  </w:num>
  <w:num w:numId="5">
    <w:abstractNumId w:val="15"/>
  </w:num>
  <w:num w:numId="6">
    <w:abstractNumId w:val="5"/>
  </w:num>
  <w:num w:numId="7">
    <w:abstractNumId w:val="25"/>
  </w:num>
  <w:num w:numId="8">
    <w:abstractNumId w:val="36"/>
  </w:num>
  <w:num w:numId="9">
    <w:abstractNumId w:val="23"/>
  </w:num>
  <w:num w:numId="10">
    <w:abstractNumId w:val="24"/>
  </w:num>
  <w:num w:numId="11">
    <w:abstractNumId w:val="9"/>
  </w:num>
  <w:num w:numId="12">
    <w:abstractNumId w:val="34"/>
  </w:num>
  <w:num w:numId="13">
    <w:abstractNumId w:val="8"/>
  </w:num>
  <w:num w:numId="14">
    <w:abstractNumId w:val="35"/>
  </w:num>
  <w:num w:numId="15">
    <w:abstractNumId w:val="13"/>
  </w:num>
  <w:num w:numId="16">
    <w:abstractNumId w:val="22"/>
  </w:num>
  <w:num w:numId="17">
    <w:abstractNumId w:val="17"/>
  </w:num>
  <w:num w:numId="18">
    <w:abstractNumId w:val="33"/>
  </w:num>
  <w:num w:numId="19">
    <w:abstractNumId w:val="11"/>
  </w:num>
  <w:num w:numId="20">
    <w:abstractNumId w:val="6"/>
  </w:num>
  <w:num w:numId="21">
    <w:abstractNumId w:val="14"/>
  </w:num>
  <w:num w:numId="22">
    <w:abstractNumId w:val="28"/>
  </w:num>
  <w:num w:numId="23">
    <w:abstractNumId w:val="29"/>
  </w:num>
  <w:num w:numId="24">
    <w:abstractNumId w:val="26"/>
  </w:num>
  <w:num w:numId="25">
    <w:abstractNumId w:val="12"/>
  </w:num>
  <w:num w:numId="26">
    <w:abstractNumId w:val="2"/>
  </w:num>
  <w:num w:numId="27">
    <w:abstractNumId w:val="1"/>
  </w:num>
  <w:num w:numId="28">
    <w:abstractNumId w:val="21"/>
  </w:num>
  <w:num w:numId="29">
    <w:abstractNumId w:val="0"/>
  </w:num>
  <w:num w:numId="30">
    <w:abstractNumId w:val="16"/>
  </w:num>
  <w:num w:numId="31">
    <w:abstractNumId w:val="31"/>
  </w:num>
  <w:num w:numId="32">
    <w:abstractNumId w:val="10"/>
  </w:num>
  <w:num w:numId="33">
    <w:abstractNumId w:val="4"/>
  </w:num>
  <w:num w:numId="34">
    <w:abstractNumId w:val="18"/>
  </w:num>
  <w:num w:numId="35">
    <w:abstractNumId w:val="7"/>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4ECF"/>
    <w:rsid w:val="00075029"/>
    <w:rsid w:val="0007610F"/>
    <w:rsid w:val="000763CC"/>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B6E81"/>
    <w:rsid w:val="001C1475"/>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7351"/>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472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5AA"/>
    <w:rsid w:val="00482DAA"/>
    <w:rsid w:val="004841CD"/>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1F5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5579"/>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C6BCF"/>
    <w:rsid w:val="006D45B5"/>
    <w:rsid w:val="006D64A6"/>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2086"/>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2DF5"/>
    <w:rsid w:val="008E3A35"/>
    <w:rsid w:val="008E58A9"/>
    <w:rsid w:val="008E590B"/>
    <w:rsid w:val="008E7E8A"/>
    <w:rsid w:val="008F2B4F"/>
    <w:rsid w:val="008F2DDE"/>
    <w:rsid w:val="008F422C"/>
    <w:rsid w:val="008F65EF"/>
    <w:rsid w:val="00900831"/>
    <w:rsid w:val="009013E7"/>
    <w:rsid w:val="00902B99"/>
    <w:rsid w:val="009041E7"/>
    <w:rsid w:val="00910878"/>
    <w:rsid w:val="00911049"/>
    <w:rsid w:val="00912CDF"/>
    <w:rsid w:val="0091597F"/>
    <w:rsid w:val="00917D9F"/>
    <w:rsid w:val="00921412"/>
    <w:rsid w:val="0092213E"/>
    <w:rsid w:val="00922C18"/>
    <w:rsid w:val="0092397D"/>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47AB8"/>
    <w:rsid w:val="00B508C1"/>
    <w:rsid w:val="00B5444C"/>
    <w:rsid w:val="00B5727F"/>
    <w:rsid w:val="00B57900"/>
    <w:rsid w:val="00B6008F"/>
    <w:rsid w:val="00B61C00"/>
    <w:rsid w:val="00B63FAA"/>
    <w:rsid w:val="00B642D4"/>
    <w:rsid w:val="00B66040"/>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5006"/>
    <w:rsid w:val="00BD2600"/>
    <w:rsid w:val="00BD49AC"/>
    <w:rsid w:val="00BD6667"/>
    <w:rsid w:val="00BD6880"/>
    <w:rsid w:val="00BD6C47"/>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7760"/>
    <w:rsid w:val="00C6006F"/>
    <w:rsid w:val="00C635E3"/>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66954"/>
    <w:rsid w:val="00D716A3"/>
    <w:rsid w:val="00D7284A"/>
    <w:rsid w:val="00D72C93"/>
    <w:rsid w:val="00D73B7F"/>
    <w:rsid w:val="00D756B8"/>
    <w:rsid w:val="00D75D8F"/>
    <w:rsid w:val="00D77231"/>
    <w:rsid w:val="00D772D0"/>
    <w:rsid w:val="00D82E21"/>
    <w:rsid w:val="00D82F7E"/>
    <w:rsid w:val="00D830AD"/>
    <w:rsid w:val="00D86D0A"/>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E7FDB"/>
    <w:rsid w:val="00DF5334"/>
    <w:rsid w:val="00DF6147"/>
    <w:rsid w:val="00DF63A7"/>
    <w:rsid w:val="00DF6414"/>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BE"/>
    <w:rsid w:val="00F0113C"/>
    <w:rsid w:val="00F01743"/>
    <w:rsid w:val="00F027AE"/>
    <w:rsid w:val="00F03591"/>
    <w:rsid w:val="00F03E36"/>
    <w:rsid w:val="00F0468D"/>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2BED-F126-4B56-9C07-971518D3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6019</Words>
  <Characters>35676</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Blahut Stanislav</cp:lastModifiedBy>
  <cp:revision>9</cp:revision>
  <cp:lastPrinted>2017-10-18T13:48:00Z</cp:lastPrinted>
  <dcterms:created xsi:type="dcterms:W3CDTF">2017-10-17T08:10:00Z</dcterms:created>
  <dcterms:modified xsi:type="dcterms:W3CDTF">2017-10-18T13:48:00Z</dcterms:modified>
</cp:coreProperties>
</file>