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A667C" w:rsidRPr="00827423">
        <w:rPr>
          <w:rFonts w:ascii="Times New Roman" w:hAnsi="Times New Roman"/>
          <w:b/>
          <w:sz w:val="32"/>
          <w:szCs w:val="32"/>
        </w:rPr>
        <w:t>Malířské a natěračské práce v domovním a bytovém fondu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667C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667C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A667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27.5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C6955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6D0E"/>
    <w:rsid w:val="0028165E"/>
    <w:rsid w:val="00285D92"/>
    <w:rsid w:val="0029182E"/>
    <w:rsid w:val="00294309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A4C02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93028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7BA"/>
    <w:rsid w:val="00777EB5"/>
    <w:rsid w:val="007818E2"/>
    <w:rsid w:val="00793150"/>
    <w:rsid w:val="00794ADE"/>
    <w:rsid w:val="007A667C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C6955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13</cp:revision>
  <cp:lastPrinted>2016-06-27T12:59:00Z</cp:lastPrinted>
  <dcterms:created xsi:type="dcterms:W3CDTF">2016-06-26T06:06:00Z</dcterms:created>
  <dcterms:modified xsi:type="dcterms:W3CDTF">2016-09-02T06:59:00Z</dcterms:modified>
</cp:coreProperties>
</file>