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60122A">
        <w:rPr>
          <w:rFonts w:ascii="Calibri" w:eastAsia="Calibri" w:hAnsi="Calibri" w:cs="Calibri"/>
          <w:b/>
          <w:color w:val="3366FF"/>
          <w:sz w:val="28"/>
          <w:szCs w:val="28"/>
        </w:rPr>
        <w:t>2</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7E7EAA">
        <w:rPr>
          <w:rFonts w:ascii="Calibri" w:eastAsia="Calibri" w:hAnsi="Calibri" w:cs="Calibri"/>
        </w:rPr>
        <w:t xml:space="preserve"> – část </w:t>
      </w:r>
      <w:r w:rsidR="0060122A">
        <w:rPr>
          <w:rFonts w:ascii="Calibri" w:eastAsia="Calibri" w:hAnsi="Calibri" w:cs="Calibri"/>
        </w:rPr>
        <w:t>2</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7E7EAA">
        <w:rPr>
          <w:rFonts w:ascii="Calibri" w:eastAsia="Calibri" w:hAnsi="Calibri" w:cs="Calibri"/>
          <w:b/>
        </w:rPr>
        <w:t xml:space="preserve"> – část </w:t>
      </w:r>
      <w:r w:rsidR="0060122A">
        <w:rPr>
          <w:rFonts w:ascii="Calibri" w:eastAsia="Calibri" w:hAnsi="Calibri" w:cs="Calibri"/>
          <w:b/>
        </w:rPr>
        <w:t>2</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895795" w:rsidRPr="002A5D92">
        <w:rPr>
          <w:rFonts w:ascii="Calibri" w:eastAsia="Calibri" w:hAnsi="Calibri" w:cs="Calibri"/>
        </w:rPr>
        <w:t xml:space="preserve">část </w:t>
      </w:r>
      <w:r w:rsidR="0060122A">
        <w:rPr>
          <w:rFonts w:ascii="Calibri" w:eastAsia="Calibri" w:hAnsi="Calibri" w:cs="Calibri"/>
        </w:rPr>
        <w:t>2</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9030D2">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9030D2">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9030D2">
        <w:rPr>
          <w:rFonts w:ascii="Calibri" w:eastAsia="Calibri" w:hAnsi="Calibri" w:cs="Calibri"/>
        </w:rPr>
        <w:t xml:space="preserve">1 </w:t>
      </w:r>
      <w:r>
        <w:rPr>
          <w:rFonts w:ascii="Calibri" w:eastAsia="Calibri" w:hAnsi="Calibri" w:cs="Calibri"/>
        </w:rPr>
        <w:t>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0122A">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60122A">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w:t>
      </w:r>
      <w:r w:rsidR="003D6CE6">
        <w:rPr>
          <w:rFonts w:ascii="Calibri" w:eastAsia="Calibri" w:hAnsi="Calibri" w:cs="Calibri"/>
        </w:rPr>
        <w:t>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9030D2">
        <w:rPr>
          <w:rFonts w:ascii="Calibri" w:eastAsia="Calibri" w:hAnsi="Calibri" w:cs="Calibri"/>
        </w:rPr>
        <w:t xml:space="preserve">a to v souladu s touto smlouvou, </w:t>
      </w:r>
      <w:r w:rsidR="00514622">
        <w:rPr>
          <w:rFonts w:ascii="Calibri" w:eastAsia="Calibri" w:hAnsi="Calibri" w:cs="Calibri"/>
        </w:rPr>
        <w:t>jejími přílohami</w:t>
      </w:r>
      <w:r w:rsidR="009030D2">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60122A">
        <w:rPr>
          <w:rFonts w:ascii="Calibri" w:eastAsia="Calibri" w:hAnsi="Calibri" w:cs="Calibri"/>
        </w:rPr>
        <w:t xml:space="preserve">s </w:t>
      </w:r>
      <w:r w:rsidR="009030D2">
        <w:rPr>
          <w:rFonts w:ascii="Calibri" w:eastAsia="Calibri" w:hAnsi="Calibri" w:cs="Calibri"/>
        </w:rPr>
        <w:t>právním</w:t>
      </w:r>
      <w:r w:rsidR="0060122A">
        <w:rPr>
          <w:rFonts w:ascii="Calibri" w:eastAsia="Calibri" w:hAnsi="Calibri" w:cs="Calibri"/>
        </w:rPr>
        <w:t>i</w:t>
      </w:r>
      <w:r w:rsidR="009030D2">
        <w:rPr>
          <w:rFonts w:ascii="Calibri" w:eastAsia="Calibri" w:hAnsi="Calibri" w:cs="Calibri"/>
        </w:rPr>
        <w:t xml:space="preserve"> předpis</w:t>
      </w:r>
      <w:r w:rsidR="0060122A">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9030D2">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w:t>
      </w:r>
      <w:r w:rsidR="009030D2">
        <w:rPr>
          <w:rFonts w:ascii="Calibri" w:eastAsia="Calibri" w:hAnsi="Calibri" w:cs="Calibri"/>
        </w:rPr>
        <w:t xml:space="preserve"> v rozsahu uvedených ve smlouvě,</w:t>
      </w:r>
      <w:r>
        <w:rPr>
          <w:rFonts w:ascii="Calibri" w:eastAsia="Calibri" w:hAnsi="Calibri" w:cs="Calibri"/>
        </w:rPr>
        <w:t xml:space="preserve"> jejích přílohách</w:t>
      </w:r>
      <w:r w:rsidR="009030D2">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XI</w:t>
      </w:r>
      <w:r w:rsidR="009E2112">
        <w:rPr>
          <w:rFonts w:ascii="Calibri" w:eastAsia="Calibri" w:hAnsi="Calibri" w:cs="Calibri"/>
        </w:rPr>
        <w:t>V</w:t>
      </w:r>
      <w:r w:rsidR="00D87906">
        <w:rPr>
          <w:rFonts w:ascii="Calibri" w:eastAsia="Calibri" w:hAnsi="Calibri" w:cs="Calibri"/>
        </w:rPr>
        <w:t xml:space="preserve"> odstavce 1</w:t>
      </w:r>
      <w:r w:rsidR="009E2112">
        <w:rPr>
          <w:rFonts w:ascii="Calibri" w:eastAsia="Calibri" w:hAnsi="Calibri" w:cs="Calibri"/>
        </w:rPr>
        <w:t>4</w:t>
      </w:r>
      <w:bookmarkStart w:id="0" w:name="_GoBack"/>
      <w:bookmarkEnd w:id="0"/>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26" w:type="dxa"/>
        <w:tblInd w:w="55" w:type="dxa"/>
        <w:tblCellMar>
          <w:left w:w="70" w:type="dxa"/>
          <w:right w:w="70" w:type="dxa"/>
        </w:tblCellMar>
        <w:tblLook w:val="04A0" w:firstRow="1" w:lastRow="0" w:firstColumn="1" w:lastColumn="0" w:noHBand="0" w:noVBand="1"/>
      </w:tblPr>
      <w:tblGrid>
        <w:gridCol w:w="3570"/>
        <w:gridCol w:w="1630"/>
        <w:gridCol w:w="1422"/>
        <w:gridCol w:w="1452"/>
        <w:gridCol w:w="1652"/>
      </w:tblGrid>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000000"/>
            </w:tcBorders>
            <w:noWrap/>
            <w:vAlign w:val="center"/>
            <w:hideMark/>
          </w:tcPr>
          <w:p w:rsidR="00913C51" w:rsidRDefault="00913C51" w:rsidP="0060122A">
            <w:pPr>
              <w:widowControl/>
              <w:ind w:left="0" w:firstLine="0"/>
              <w:jc w:val="center"/>
              <w:rPr>
                <w:rFonts w:ascii="Calibri" w:hAnsi="Calibri"/>
                <w:b/>
                <w:bCs/>
                <w:sz w:val="24"/>
                <w:szCs w:val="24"/>
              </w:rPr>
            </w:pPr>
            <w:r>
              <w:rPr>
                <w:rFonts w:ascii="Calibri" w:hAnsi="Calibri"/>
                <w:b/>
                <w:bCs/>
                <w:sz w:val="24"/>
                <w:szCs w:val="24"/>
              </w:rPr>
              <w:t xml:space="preserve">ČÁST </w:t>
            </w:r>
            <w:r w:rsidR="0060122A">
              <w:rPr>
                <w:rFonts w:ascii="Calibri" w:hAnsi="Calibri"/>
                <w:b/>
                <w:bCs/>
                <w:sz w:val="24"/>
                <w:szCs w:val="24"/>
              </w:rPr>
              <w:t>2</w:t>
            </w:r>
          </w:p>
        </w:tc>
      </w:tr>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13C51" w:rsidRDefault="00913C51" w:rsidP="009D68D9">
            <w:pPr>
              <w:widowControl/>
              <w:ind w:left="0" w:firstLine="0"/>
              <w:jc w:val="center"/>
              <w:rPr>
                <w:rFonts w:ascii="Calibri" w:hAnsi="Calibri"/>
                <w:b/>
                <w:bCs/>
                <w:sz w:val="24"/>
                <w:szCs w:val="24"/>
              </w:rPr>
            </w:pPr>
            <w:r>
              <w:rPr>
                <w:rFonts w:ascii="Calibri" w:hAnsi="Calibri"/>
                <w:b/>
                <w:bCs/>
                <w:sz w:val="24"/>
                <w:szCs w:val="24"/>
              </w:rPr>
              <w:t>Kompetence vedoucích zaměstnanců pro strategické a projektové řízení</w:t>
            </w:r>
          </w:p>
        </w:tc>
      </w:tr>
      <w:tr w:rsidR="00913C51" w:rsidTr="009D68D9">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jednotková cena za kurz (vč. DPH)</w:t>
            </w:r>
          </w:p>
        </w:tc>
        <w:tc>
          <w:tcPr>
            <w:tcW w:w="2874" w:type="dxa"/>
            <w:gridSpan w:val="2"/>
            <w:tcBorders>
              <w:top w:val="single" w:sz="4" w:space="0" w:color="auto"/>
              <w:left w:val="nil"/>
              <w:bottom w:val="single" w:sz="4" w:space="0" w:color="auto"/>
              <w:right w:val="single" w:sz="4" w:space="0" w:color="000000"/>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Počet školicích dní</w:t>
            </w:r>
          </w:p>
        </w:tc>
        <w:tc>
          <w:tcPr>
            <w:tcW w:w="1652"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souhrnná cena za kurz (vč. DPH)</w:t>
            </w: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III</w:t>
            </w:r>
          </w:p>
        </w:tc>
        <w:tc>
          <w:tcPr>
            <w:tcW w:w="1630"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913C51" w:rsidRDefault="00913C51" w:rsidP="009D68D9">
            <w:pPr>
              <w:widowControl/>
              <w:ind w:left="0" w:firstLine="0"/>
              <w:jc w:val="center"/>
              <w:rPr>
                <w:rFonts w:ascii="Calibri" w:hAnsi="Calibri"/>
              </w:rPr>
            </w:pPr>
            <w:r>
              <w:rPr>
                <w:rFonts w:ascii="Calibri" w:hAnsi="Calibri"/>
              </w:rPr>
              <w:t>4</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Nabídková cena celkem - kurz (vč.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460"/>
        </w:trPr>
        <w:tc>
          <w:tcPr>
            <w:tcW w:w="9726"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913C51" w:rsidRDefault="00913C51" w:rsidP="009D68D9">
            <w:pPr>
              <w:widowControl/>
              <w:ind w:left="0" w:firstLine="0"/>
              <w:jc w:val="center"/>
              <w:rPr>
                <w:rFonts w:ascii="Calibri" w:hAnsi="Calibri"/>
                <w:b/>
                <w:bCs/>
                <w:sz w:val="24"/>
                <w:szCs w:val="24"/>
              </w:rPr>
            </w:pPr>
            <w:r>
              <w:rPr>
                <w:rFonts w:ascii="Calibri" w:hAnsi="Calibri"/>
                <w:b/>
                <w:bCs/>
                <w:sz w:val="24"/>
                <w:szCs w:val="24"/>
              </w:rPr>
              <w:t> </w:t>
            </w:r>
          </w:p>
        </w:tc>
      </w:tr>
      <w:tr w:rsidR="00913C51" w:rsidTr="009D68D9">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Počet účastníků / počet skupin</w:t>
            </w:r>
          </w:p>
        </w:tc>
        <w:tc>
          <w:tcPr>
            <w:tcW w:w="1422" w:type="dxa"/>
            <w:tcBorders>
              <w:top w:val="nil"/>
              <w:left w:val="nil"/>
              <w:bottom w:val="single" w:sz="4" w:space="0" w:color="auto"/>
              <w:right w:val="single" w:sz="4" w:space="0" w:color="auto"/>
            </w:tcBorders>
            <w:shd w:val="clear" w:color="auto" w:fill="F2F2F2"/>
            <w:noWrap/>
            <w:vAlign w:val="center"/>
            <w:hideMark/>
          </w:tcPr>
          <w:p w:rsidR="00913C51" w:rsidRDefault="00913C51" w:rsidP="009D68D9">
            <w:pPr>
              <w:widowControl/>
              <w:ind w:left="0" w:firstLine="0"/>
              <w:jc w:val="center"/>
              <w:rPr>
                <w:rFonts w:ascii="Calibri" w:hAnsi="Calibri"/>
                <w:b/>
                <w:bCs/>
              </w:rPr>
            </w:pPr>
            <w:r>
              <w:rPr>
                <w:rFonts w:ascii="Calibri" w:hAnsi="Calibri"/>
                <w:b/>
                <w:bCs/>
              </w:rPr>
              <w:t>Počet nocí celkem</w:t>
            </w:r>
          </w:p>
        </w:tc>
        <w:tc>
          <w:tcPr>
            <w:tcW w:w="1452" w:type="dxa"/>
            <w:tcBorders>
              <w:top w:val="nil"/>
              <w:left w:val="nil"/>
              <w:bottom w:val="single" w:sz="4" w:space="0" w:color="auto"/>
              <w:right w:val="single" w:sz="4" w:space="0" w:color="auto"/>
            </w:tcBorders>
            <w:shd w:val="clear" w:color="auto" w:fill="F2F2F2"/>
            <w:vAlign w:val="bottom"/>
            <w:hideMark/>
          </w:tcPr>
          <w:p w:rsidR="00913C51" w:rsidRDefault="00913C51" w:rsidP="009D68D9">
            <w:pPr>
              <w:widowControl/>
              <w:ind w:left="0" w:firstLine="0"/>
              <w:jc w:val="center"/>
              <w:rPr>
                <w:rFonts w:ascii="Calibri" w:hAnsi="Calibri"/>
                <w:b/>
                <w:bCs/>
              </w:rPr>
            </w:pPr>
            <w:r>
              <w:rPr>
                <w:rFonts w:ascii="Calibri" w:hAnsi="Calibri"/>
                <w:b/>
                <w:bCs/>
              </w:rPr>
              <w:t>Nabídková jednotková cena (vč. DPH)</w:t>
            </w:r>
          </w:p>
        </w:tc>
        <w:tc>
          <w:tcPr>
            <w:tcW w:w="1652" w:type="dxa"/>
            <w:tcBorders>
              <w:top w:val="nil"/>
              <w:left w:val="nil"/>
              <w:bottom w:val="single" w:sz="4" w:space="0" w:color="auto"/>
              <w:right w:val="single" w:sz="4" w:space="0" w:color="auto"/>
            </w:tcBorders>
            <w:shd w:val="clear" w:color="auto" w:fill="F2F2F2"/>
            <w:vAlign w:val="center"/>
            <w:hideMark/>
          </w:tcPr>
          <w:p w:rsidR="00913C51" w:rsidRDefault="00913C51" w:rsidP="009D68D9">
            <w:pPr>
              <w:widowControl/>
              <w:ind w:left="0" w:firstLine="0"/>
              <w:jc w:val="center"/>
              <w:rPr>
                <w:rFonts w:ascii="Calibri" w:hAnsi="Calibri"/>
                <w:b/>
                <w:bCs/>
              </w:rPr>
            </w:pPr>
            <w:r>
              <w:rPr>
                <w:rFonts w:ascii="Calibri" w:hAnsi="Calibri"/>
                <w:b/>
                <w:bCs/>
              </w:rPr>
              <w:t>Nabídková cena ubytování (vč. DPH)</w:t>
            </w: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lastRenderedPageBreak/>
              <w:t>KOSŘ Blok II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579"/>
        </w:trPr>
        <w:tc>
          <w:tcPr>
            <w:tcW w:w="3570" w:type="dxa"/>
            <w:tcBorders>
              <w:top w:val="nil"/>
              <w:left w:val="single" w:sz="4" w:space="0" w:color="auto"/>
              <w:bottom w:val="single" w:sz="4" w:space="0" w:color="auto"/>
              <w:right w:val="single" w:sz="4" w:space="0" w:color="auto"/>
            </w:tcBorders>
            <w:vAlign w:val="center"/>
            <w:hideMark/>
          </w:tcPr>
          <w:p w:rsidR="00913C51" w:rsidRDefault="00913C51" w:rsidP="009D68D9">
            <w:pPr>
              <w:widowControl/>
              <w:ind w:left="0" w:firstLine="0"/>
              <w:jc w:val="left"/>
              <w:rPr>
                <w:rFonts w:ascii="Calibri" w:hAnsi="Calibri"/>
              </w:rPr>
            </w:pPr>
            <w:r>
              <w:rPr>
                <w:rFonts w:ascii="Calibri" w:hAnsi="Calibri"/>
              </w:rPr>
              <w:t>KOSŘ Blok III</w:t>
            </w:r>
          </w:p>
        </w:tc>
        <w:tc>
          <w:tcPr>
            <w:tcW w:w="1630"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30 / 2</w:t>
            </w:r>
          </w:p>
        </w:tc>
        <w:tc>
          <w:tcPr>
            <w:tcW w:w="1422" w:type="dxa"/>
            <w:tcBorders>
              <w:top w:val="nil"/>
              <w:left w:val="nil"/>
              <w:bottom w:val="single" w:sz="4" w:space="0" w:color="auto"/>
              <w:right w:val="single" w:sz="4" w:space="0" w:color="auto"/>
            </w:tcBorders>
            <w:noWrap/>
            <w:vAlign w:val="center"/>
            <w:hideMark/>
          </w:tcPr>
          <w:p w:rsidR="00913C51" w:rsidRDefault="00913C51" w:rsidP="009D68D9">
            <w:pPr>
              <w:widowControl/>
              <w:ind w:left="0" w:firstLine="0"/>
              <w:jc w:val="center"/>
              <w:rPr>
                <w:rFonts w:ascii="Calibri" w:hAnsi="Calibri"/>
              </w:rPr>
            </w:pPr>
            <w:r>
              <w:rPr>
                <w:rFonts w:ascii="Calibri" w:hAnsi="Calibri"/>
              </w:rPr>
              <w:t>60</w:t>
            </w:r>
          </w:p>
        </w:tc>
        <w:tc>
          <w:tcPr>
            <w:tcW w:w="14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313"/>
        </w:trPr>
        <w:tc>
          <w:tcPr>
            <w:tcW w:w="3570" w:type="dxa"/>
            <w:tcBorders>
              <w:top w:val="nil"/>
              <w:left w:val="single" w:sz="4" w:space="0" w:color="auto"/>
              <w:bottom w:val="single" w:sz="8" w:space="0" w:color="auto"/>
              <w:right w:val="nil"/>
            </w:tcBorders>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Nabídková cena celkem - ubytování (vč. DPH):</w:t>
            </w:r>
          </w:p>
        </w:tc>
        <w:tc>
          <w:tcPr>
            <w:tcW w:w="1630" w:type="dxa"/>
            <w:shd w:val="clear" w:color="auto" w:fill="F2F2F2"/>
            <w:noWrap/>
            <w:vAlign w:val="bottom"/>
            <w:hideMark/>
          </w:tcPr>
          <w:p w:rsidR="00913C51" w:rsidRDefault="00913C51" w:rsidP="009D68D9">
            <w:pPr>
              <w:widowControl/>
              <w:ind w:left="0" w:firstLine="0"/>
              <w:jc w:val="left"/>
              <w:rPr>
                <w:rFonts w:ascii="Calibri" w:hAnsi="Calibri"/>
                <w:b/>
                <w:bCs/>
              </w:rPr>
            </w:pPr>
            <w:r>
              <w:rPr>
                <w:rFonts w:ascii="Calibri" w:hAnsi="Calibri"/>
                <w:b/>
                <w:bCs/>
              </w:rPr>
              <w:t> </w:t>
            </w:r>
          </w:p>
        </w:tc>
        <w:tc>
          <w:tcPr>
            <w:tcW w:w="2874" w:type="dxa"/>
            <w:gridSpan w:val="2"/>
            <w:tcBorders>
              <w:top w:val="single" w:sz="4" w:space="0" w:color="auto"/>
              <w:left w:val="nil"/>
              <w:bottom w:val="single" w:sz="8" w:space="0" w:color="auto"/>
              <w:right w:val="single" w:sz="4" w:space="0" w:color="000000"/>
            </w:tcBorders>
            <w:shd w:val="clear" w:color="auto" w:fill="F2F2F2"/>
            <w:noWrap/>
            <w:vAlign w:val="bottom"/>
            <w:hideMark/>
          </w:tcPr>
          <w:p w:rsidR="00913C51" w:rsidRDefault="00913C51" w:rsidP="009D68D9">
            <w:pPr>
              <w:widowControl/>
              <w:ind w:left="0" w:firstLine="0"/>
              <w:jc w:val="center"/>
              <w:rPr>
                <w:rFonts w:ascii="Calibri" w:hAnsi="Calibri"/>
                <w:b/>
                <w:bCs/>
              </w:rPr>
            </w:pPr>
            <w:r>
              <w:rPr>
                <w:rFonts w:ascii="Calibri" w:hAnsi="Calibri"/>
                <w:b/>
                <w:bCs/>
              </w:rPr>
              <w:t> </w:t>
            </w:r>
          </w:p>
        </w:tc>
        <w:tc>
          <w:tcPr>
            <w:tcW w:w="1652" w:type="dxa"/>
            <w:tcBorders>
              <w:top w:val="nil"/>
              <w:left w:val="nil"/>
              <w:bottom w:val="single" w:sz="8"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313"/>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913C51" w:rsidRDefault="00913C51" w:rsidP="0060122A">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60122A">
              <w:rPr>
                <w:rFonts w:ascii="Calibri" w:hAnsi="Calibri"/>
                <w:b/>
                <w:bCs/>
                <w:color w:val="auto"/>
                <w:sz w:val="24"/>
                <w:szCs w:val="24"/>
              </w:rPr>
              <w:t>2</w:t>
            </w:r>
            <w:r>
              <w:rPr>
                <w:rFonts w:ascii="Calibri" w:hAnsi="Calibri"/>
                <w:b/>
                <w:bCs/>
                <w:color w:val="auto"/>
                <w:sz w:val="24"/>
                <w:szCs w:val="24"/>
              </w:rPr>
              <w:t xml:space="preserve"> veřejné zakázky</w:t>
            </w: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60122A">
            <w:pPr>
              <w:widowControl/>
              <w:ind w:left="0" w:firstLine="0"/>
              <w:jc w:val="left"/>
              <w:rPr>
                <w:rFonts w:ascii="Calibri" w:hAnsi="Calibri"/>
                <w:b/>
                <w:bCs/>
              </w:rPr>
            </w:pPr>
            <w:r>
              <w:rPr>
                <w:rFonts w:ascii="Calibri" w:hAnsi="Calibri"/>
                <w:b/>
                <w:bCs/>
              </w:rPr>
              <w:t xml:space="preserve">Nabídková cena za část </w:t>
            </w:r>
            <w:r w:rsidR="0060122A">
              <w:rPr>
                <w:rFonts w:ascii="Calibri" w:hAnsi="Calibri"/>
                <w:b/>
                <w:bCs/>
              </w:rPr>
              <w:t>2</w:t>
            </w:r>
            <w:r w:rsidR="00913C51">
              <w:rPr>
                <w:rFonts w:ascii="Calibri" w:hAnsi="Calibri"/>
                <w:b/>
                <w:bCs/>
              </w:rPr>
              <w:t xml:space="preserve"> celkem (vč.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60122A">
            <w:pPr>
              <w:widowControl/>
              <w:ind w:left="0" w:firstLine="0"/>
              <w:jc w:val="left"/>
              <w:rPr>
                <w:rFonts w:ascii="Calibri" w:hAnsi="Calibri"/>
                <w:b/>
                <w:bCs/>
              </w:rPr>
            </w:pPr>
            <w:r>
              <w:rPr>
                <w:rFonts w:ascii="Calibri" w:hAnsi="Calibri"/>
                <w:b/>
                <w:bCs/>
              </w:rPr>
              <w:t xml:space="preserve">Nabídková cena za část </w:t>
            </w:r>
            <w:r w:rsidR="0060122A">
              <w:rPr>
                <w:rFonts w:ascii="Calibri" w:hAnsi="Calibri"/>
                <w:b/>
                <w:bCs/>
              </w:rPr>
              <w:t>2</w:t>
            </w:r>
            <w:r w:rsidR="00913C51">
              <w:rPr>
                <w:rFonts w:ascii="Calibri" w:hAnsi="Calibri"/>
                <w:b/>
                <w:bCs/>
              </w:rPr>
              <w:t xml:space="preserve"> celkem (bez DPH):</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r w:rsidR="00913C51" w:rsidTr="009D68D9">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913C51" w:rsidRDefault="000549F0" w:rsidP="0060122A">
            <w:pPr>
              <w:widowControl/>
              <w:ind w:left="0" w:firstLine="0"/>
              <w:jc w:val="left"/>
              <w:rPr>
                <w:rFonts w:ascii="Calibri" w:hAnsi="Calibri"/>
                <w:b/>
                <w:bCs/>
              </w:rPr>
            </w:pPr>
            <w:r>
              <w:rPr>
                <w:rFonts w:ascii="Calibri" w:hAnsi="Calibri"/>
                <w:b/>
                <w:bCs/>
              </w:rPr>
              <w:t xml:space="preserve">Výše DPH za část </w:t>
            </w:r>
            <w:r w:rsidR="0060122A">
              <w:rPr>
                <w:rFonts w:ascii="Calibri" w:hAnsi="Calibri"/>
                <w:b/>
                <w:bCs/>
              </w:rPr>
              <w:t>2</w:t>
            </w:r>
            <w:r w:rsidR="00913C51">
              <w:rPr>
                <w:rFonts w:ascii="Calibri" w:hAnsi="Calibri"/>
                <w:b/>
                <w:bCs/>
              </w:rPr>
              <w:t xml:space="preserve"> celkem:</w:t>
            </w:r>
          </w:p>
        </w:tc>
        <w:tc>
          <w:tcPr>
            <w:tcW w:w="1652" w:type="dxa"/>
            <w:tcBorders>
              <w:top w:val="nil"/>
              <w:left w:val="nil"/>
              <w:bottom w:val="single" w:sz="4" w:space="0" w:color="auto"/>
              <w:right w:val="single" w:sz="4" w:space="0" w:color="auto"/>
            </w:tcBorders>
            <w:shd w:val="clear" w:color="auto" w:fill="FFFF00"/>
            <w:noWrap/>
            <w:vAlign w:val="center"/>
          </w:tcPr>
          <w:p w:rsidR="00913C51" w:rsidRDefault="00913C51" w:rsidP="009D68D9">
            <w:pPr>
              <w:widowControl/>
              <w:ind w:left="0" w:firstLine="0"/>
              <w:jc w:val="center"/>
              <w:rPr>
                <w:rFonts w:ascii="Calibri" w:hAnsi="Calibri"/>
              </w:rPr>
            </w:pPr>
          </w:p>
        </w:tc>
      </w:tr>
    </w:tbl>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764218" w:rsidRDefault="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9030D2">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 xml:space="preserve">Dodavatel, jakožto dodavatel plnění financovaného ze zdrojů Evropského sociálního fondu a státního </w:t>
      </w:r>
      <w:r>
        <w:rPr>
          <w:rFonts w:ascii="Calibri" w:eastAsia="Calibri" w:hAnsi="Calibri" w:cs="Calibri"/>
        </w:rPr>
        <w:lastRenderedPageBreak/>
        <w:t>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1" w:name="_gjdgxs" w:colFirst="0" w:colLast="0"/>
      <w:bookmarkEnd w:id="1"/>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60122A">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lastRenderedPageBreak/>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60122A">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60122A">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12.3</w:t>
      </w:r>
      <w:r>
        <w:rPr>
          <w:rFonts w:asciiTheme="minorHAnsi" w:eastAsia="Arial" w:hAnsiTheme="minorHAnsi" w:cs="Arial"/>
        </w:rPr>
        <w:tab/>
      </w:r>
      <w:r w:rsidRPr="00F07B5F">
        <w:rPr>
          <w:rFonts w:asciiTheme="minorHAnsi" w:eastAsia="Arial" w:hAnsiTheme="minorHAnsi" w:cs="Arial"/>
        </w:rPr>
        <w:t xml:space="preserve">V případě, že </w:t>
      </w:r>
      <w:r>
        <w:rPr>
          <w:rFonts w:asciiTheme="minorHAnsi" w:eastAsia="Arial" w:hAnsiTheme="minorHAnsi" w:cs="Arial"/>
        </w:rPr>
        <w:t>dodavatel</w:t>
      </w:r>
      <w:r w:rsidRPr="00F07B5F">
        <w:rPr>
          <w:rFonts w:asciiTheme="minorHAnsi" w:eastAsia="Arial" w:hAnsiTheme="minorHAnsi" w:cs="Arial"/>
        </w:rPr>
        <w:t xml:space="preserve"> nepředloží </w:t>
      </w:r>
      <w:r>
        <w:rPr>
          <w:rFonts w:asciiTheme="minorHAnsi" w:eastAsia="Arial" w:hAnsiTheme="minorHAnsi" w:cs="Arial"/>
        </w:rPr>
        <w:t>objednateli</w:t>
      </w:r>
      <w:r w:rsidRPr="00F07B5F">
        <w:rPr>
          <w:rFonts w:asciiTheme="minorHAnsi" w:eastAsia="Arial" w:hAnsiTheme="minorHAnsi" w:cs="Arial"/>
        </w:rPr>
        <w:t xml:space="preserve"> na jeho žádost pojistnou smlouvu ve lhůtách stanovených v čl. </w:t>
      </w:r>
      <w:r>
        <w:rPr>
          <w:rFonts w:asciiTheme="minorHAnsi" w:eastAsia="Arial" w:hAnsiTheme="minorHAnsi" w:cs="Arial"/>
        </w:rPr>
        <w:t>XIII</w:t>
      </w:r>
      <w:r w:rsidRPr="00F07B5F">
        <w:rPr>
          <w:rFonts w:asciiTheme="minorHAnsi" w:eastAsia="Arial" w:hAnsiTheme="minorHAnsi" w:cs="Arial"/>
        </w:rPr>
        <w:t xml:space="preserve"> </w:t>
      </w:r>
      <w:r>
        <w:rPr>
          <w:rFonts w:asciiTheme="minorHAnsi" w:eastAsia="Arial" w:hAnsiTheme="minorHAnsi" w:cs="Arial"/>
        </w:rPr>
        <w:t>odstavci 13.1</w:t>
      </w:r>
      <w:r w:rsidRPr="00F07B5F">
        <w:rPr>
          <w:rFonts w:asciiTheme="minorHAnsi" w:eastAsia="Arial" w:hAnsiTheme="minorHAnsi" w:cs="Arial"/>
        </w:rPr>
        <w:t xml:space="preserve"> této smlouvy, je </w:t>
      </w:r>
      <w:r>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2112">
        <w:rPr>
          <w:rFonts w:asciiTheme="minorHAnsi" w:eastAsia="Arial" w:hAnsiTheme="minorHAnsi" w:cs="Arial"/>
        </w:rPr>
        <w:t>4</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2112">
        <w:rPr>
          <w:rFonts w:asciiTheme="minorHAnsi" w:eastAsia="Arial" w:hAnsiTheme="minorHAnsi" w:cs="Arial"/>
        </w:rPr>
        <w:t>5</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 xml:space="preserve">této </w:t>
      </w:r>
      <w:r w:rsidR="004609DE">
        <w:rPr>
          <w:rFonts w:asciiTheme="minorHAnsi" w:eastAsia="Arial" w:hAnsiTheme="minorHAnsi" w:cs="Arial"/>
        </w:rPr>
        <w:lastRenderedPageBreak/>
        <w:t>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2112">
        <w:rPr>
          <w:rFonts w:asciiTheme="minorHAnsi" w:eastAsia="Arial" w:hAnsiTheme="minorHAnsi" w:cs="Arial"/>
        </w:rPr>
        <w:t>6</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2112">
        <w:rPr>
          <w:rFonts w:asciiTheme="minorHAnsi" w:eastAsia="Arial" w:hAnsiTheme="minorHAnsi" w:cs="Arial"/>
        </w:rPr>
        <w:t>7</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E2112">
        <w:rPr>
          <w:rFonts w:asciiTheme="minorHAnsi" w:eastAsia="Arial" w:hAnsiTheme="minorHAnsi" w:cs="Arial"/>
        </w:rPr>
        <w:t>8</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E2112">
        <w:rPr>
          <w:rFonts w:asciiTheme="minorHAnsi" w:eastAsia="Arial" w:hAnsiTheme="minorHAnsi" w:cs="Arial"/>
        </w:rPr>
        <w:t>9</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E2112">
        <w:rPr>
          <w:rFonts w:asciiTheme="minorHAnsi" w:hAnsiTheme="minorHAnsi"/>
        </w:rPr>
        <w:t>10</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9E2112">
        <w:rPr>
          <w:rFonts w:asciiTheme="minorHAnsi" w:hAnsiTheme="minorHAnsi"/>
        </w:rPr>
        <w:t>1</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E2112">
        <w:rPr>
          <w:rFonts w:asciiTheme="minorHAnsi" w:eastAsia="Arial" w:hAnsiTheme="minorHAnsi" w:cs="Arial"/>
        </w:rPr>
        <w:t>2</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Článek X</w:t>
      </w:r>
      <w:r w:rsidR="007A648E">
        <w:rPr>
          <w:rFonts w:ascii="Calibri" w:eastAsia="Calibri" w:hAnsi="Calibri" w:cs="Calibri"/>
          <w:b/>
        </w:rPr>
        <w:t>I</w:t>
      </w:r>
      <w:r w:rsidR="0060122A">
        <w:rPr>
          <w:rFonts w:ascii="Calibri" w:eastAsia="Calibri" w:hAnsi="Calibri" w:cs="Calibri"/>
          <w:b/>
        </w:rPr>
        <w:t>II</w:t>
      </w: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Další ujednání</w:t>
      </w: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p>
    <w:p w:rsidR="009E2112" w:rsidRDefault="009E2112" w:rsidP="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13.1</w:t>
      </w:r>
      <w:r>
        <w:rPr>
          <w:rFonts w:ascii="Calibri" w:eastAsia="Calibri" w:hAnsi="Calibri" w:cs="Calibri"/>
        </w:rPr>
        <w:tab/>
      </w:r>
      <w:r>
        <w:rPr>
          <w:rFonts w:ascii="Calibri" w:eastAsia="Calibri" w:hAnsi="Calibri" w:cs="Calibri"/>
        </w:rPr>
        <w:t>Dodavatel je povinen být po celou dobu provádění díla dle této smlouvy pojištěn pro případ škody způsobené objednateli nebo třetím osobám v důsledku výkonu své činnosti, a to s limitem pojistného plnění v minimální výši odpovídající hodnotě plnění dle této smlouvy. Doklad o tomto pojištění je dodavatel povinen objednateli předložit kdykoliv, kdy o to bude objednatelem požádán, nejpozději do dvou pracovních dnů od doručení žádosti. V případě, že objednateli nebo třetím osobám vznikne při činnosti prováděné dodavatelem škoda, která nebude kryta pojištěním, je dodavatel povinen tuto újmu uhradit z vlastních prostředků.</w:t>
      </w:r>
    </w:p>
    <w:p w:rsidR="009E2112" w:rsidRPr="009E2112" w:rsidRDefault="009E2112" w:rsidP="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9E2112" w:rsidRDefault="009E211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Článek XIV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w:t>
      </w:r>
      <w:r w:rsidR="009030D2">
        <w:rPr>
          <w:rFonts w:ascii="Calibri" w:eastAsia="Calibri" w:hAnsi="Calibri" w:cs="Calibri"/>
        </w:rPr>
        <w:t xml:space="preserve"> srozumitelně</w:t>
      </w:r>
      <w:r>
        <w:rPr>
          <w:rFonts w:ascii="Calibri" w:eastAsia="Calibri" w:hAnsi="Calibri" w:cs="Calibri"/>
        </w:rPr>
        <w:t xml:space="preserve"> a </w:t>
      </w:r>
      <w:r>
        <w:rPr>
          <w:rFonts w:ascii="Calibri" w:eastAsia="Calibri" w:hAnsi="Calibri" w:cs="Calibri"/>
        </w:rPr>
        <w:lastRenderedPageBreak/>
        <w:t>že se dohodly o celém jejím obsahu, což stvrzují svými podpisy</w:t>
      </w:r>
      <w:r w:rsidR="009030D2">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E2112">
        <w:rPr>
          <w:rFonts w:ascii="Calibri" w:eastAsia="Calibri" w:hAnsi="Calibri" w:cs="Calibri"/>
        </w:rPr>
        <w:t>4</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E2112">
        <w:rPr>
          <w:rFonts w:ascii="Calibri" w:eastAsia="Calibri" w:hAnsi="Calibri" w:cs="Calibri"/>
        </w:rPr>
        <w:t>4</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9030D2">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9030D2">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část </w:t>
      </w:r>
      <w:r w:rsidR="0060122A">
        <w:rPr>
          <w:rFonts w:asciiTheme="minorHAnsi" w:hAnsiTheme="minorHAnsi"/>
        </w:rPr>
        <w:t>2</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 xml:space="preserve">Příloha č. </w:t>
      </w:r>
      <w:r w:rsidR="009030D2">
        <w:rPr>
          <w:rFonts w:asciiTheme="minorHAnsi" w:hAnsiTheme="minorHAnsi"/>
        </w:rPr>
        <w:t>2</w:t>
      </w:r>
      <w:r w:rsidRPr="004D0630">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9030D2"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9030D2" w:rsidRDefault="009030D2">
      <w:pPr>
        <w:rPr>
          <w:rFonts w:ascii="Calibri" w:eastAsia="Calibri" w:hAnsi="Calibri" w:cs="Calibri"/>
        </w:rPr>
      </w:pPr>
      <w:r>
        <w:rPr>
          <w:rFonts w:ascii="Calibri" w:eastAsia="Calibri" w:hAnsi="Calibri" w:cs="Calibri"/>
        </w:rPr>
        <w:br w:type="page"/>
      </w:r>
    </w:p>
    <w:p w:rsidR="009030D2" w:rsidRDefault="009030D2" w:rsidP="009030D2">
      <w:pPr>
        <w:rPr>
          <w:rFonts w:asciiTheme="minorHAnsi" w:hAnsiTheme="minorHAnsi"/>
          <w:b/>
        </w:rPr>
      </w:pPr>
      <w:r>
        <w:rPr>
          <w:rFonts w:asciiTheme="minorHAnsi" w:hAnsiTheme="minorHAnsi"/>
          <w:b/>
        </w:rPr>
        <w:lastRenderedPageBreak/>
        <w:t>Příloha č. 1</w:t>
      </w:r>
    </w:p>
    <w:p w:rsidR="009030D2" w:rsidRPr="00C46E41" w:rsidRDefault="009030D2" w:rsidP="009030D2">
      <w:pPr>
        <w:spacing w:after="120"/>
        <w:jc w:val="center"/>
        <w:rPr>
          <w:rFonts w:ascii="Arial" w:hAnsi="Arial" w:cs="Arial"/>
          <w:b/>
          <w:sz w:val="52"/>
          <w:szCs w:val="52"/>
        </w:rPr>
      </w:pPr>
      <w:r>
        <w:rPr>
          <w:rFonts w:ascii="Arial" w:hAnsi="Arial" w:cs="Arial"/>
          <w:b/>
          <w:sz w:val="52"/>
          <w:szCs w:val="52"/>
        </w:rPr>
        <w:t xml:space="preserve">Specifikace předmětu plnění část </w:t>
      </w:r>
      <w:r w:rsidR="0060122A">
        <w:rPr>
          <w:rFonts w:ascii="Arial" w:hAnsi="Arial" w:cs="Arial"/>
          <w:b/>
          <w:sz w:val="52"/>
          <w:szCs w:val="52"/>
        </w:rPr>
        <w:t>2</w:t>
      </w:r>
    </w:p>
    <w:p w:rsidR="009030D2" w:rsidRDefault="009030D2" w:rsidP="009030D2">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9030D2" w:rsidRPr="00373196" w:rsidRDefault="009030D2" w:rsidP="009030D2">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9030D2" w:rsidRPr="00373196" w:rsidRDefault="009030D2" w:rsidP="009030D2">
      <w:pPr>
        <w:pStyle w:val="Odstavecseseznamem"/>
        <w:widowControl/>
        <w:numPr>
          <w:ilvl w:val="0"/>
          <w:numId w:val="10"/>
        </w:numPr>
        <w:spacing w:after="120" w:line="276" w:lineRule="auto"/>
        <w:rPr>
          <w:rFonts w:ascii="Arial" w:hAnsi="Arial" w:cs="Arial"/>
        </w:rPr>
      </w:pPr>
      <w:r w:rsidRPr="00373196">
        <w:rPr>
          <w:rFonts w:ascii="Arial" w:hAnsi="Arial" w:cs="Arial"/>
        </w:rPr>
        <w:t xml:space="preserve">Kompletní dokumentace k jednotlivým kurzům bude dodavateli v písemné formě dodána do 10 </w:t>
      </w:r>
      <w:r>
        <w:rPr>
          <w:rFonts w:ascii="Arial" w:hAnsi="Arial" w:cs="Arial"/>
        </w:rPr>
        <w:t>pracovních</w:t>
      </w:r>
      <w:r w:rsidRPr="00373196">
        <w:rPr>
          <w:rFonts w:ascii="Arial" w:hAnsi="Arial" w:cs="Arial"/>
        </w:rPr>
        <w:t xml:space="preserve"> dnů od data konání kurzu. </w:t>
      </w:r>
    </w:p>
    <w:p w:rsidR="009030D2" w:rsidRPr="00F2510C" w:rsidRDefault="009030D2" w:rsidP="009030D2">
      <w:pPr>
        <w:pStyle w:val="Odstavecseseznamem"/>
        <w:widowControl/>
        <w:numPr>
          <w:ilvl w:val="0"/>
          <w:numId w:val="10"/>
        </w:numPr>
        <w:spacing w:after="120" w:line="276" w:lineRule="auto"/>
        <w:rPr>
          <w:rFonts w:ascii="Arial" w:hAnsi="Arial" w:cs="Arial"/>
        </w:rPr>
      </w:pPr>
      <w:r w:rsidRPr="00E35F8F">
        <w:rPr>
          <w:rFonts w:ascii="Arial" w:hAnsi="Arial" w:cs="Arial"/>
        </w:rPr>
        <w:t xml:space="preserve">Pro kurzy obsažené v části </w:t>
      </w:r>
      <w:r w:rsidR="0060122A">
        <w:rPr>
          <w:rFonts w:ascii="Arial" w:hAnsi="Arial" w:cs="Arial"/>
        </w:rPr>
        <w:t>2</w:t>
      </w:r>
      <w:r w:rsidRPr="00E35F8F">
        <w:rPr>
          <w:rFonts w:ascii="Arial" w:hAnsi="Arial" w:cs="Arial"/>
        </w:rPr>
        <w:t xml:space="preserve"> </w:t>
      </w:r>
      <w:r w:rsidRPr="001525E1">
        <w:rPr>
          <w:rFonts w:ascii="Arial" w:hAnsi="Arial" w:cs="Arial"/>
        </w:rPr>
        <w:t xml:space="preserve">platí, že vyučovací hodinou se rozumí 60 minut. Školicím dnem je pak myšlen den v délce 8 vyučovacích hodin bez </w:t>
      </w:r>
      <w:r w:rsidRPr="00F2510C">
        <w:rPr>
          <w:rFonts w:ascii="Arial" w:hAnsi="Arial" w:cs="Arial"/>
        </w:rPr>
        <w:t>přestávek.</w:t>
      </w:r>
      <w:r>
        <w:rPr>
          <w:rFonts w:ascii="Arial" w:hAnsi="Arial" w:cs="Arial"/>
        </w:rPr>
        <w:t xml:space="preserve"> </w:t>
      </w:r>
      <w:r w:rsidRPr="00F2510C">
        <w:rPr>
          <w:rFonts w:ascii="Arial" w:hAnsi="Arial" w:cs="Arial"/>
        </w:rPr>
        <w:t xml:space="preserve"> Přestávky navrhne uchazeč nad uvedený časový rozsah v min. počtu 2 a pauzy na oběd (o délce 30 minut). </w:t>
      </w:r>
    </w:p>
    <w:p w:rsidR="009030D2" w:rsidRPr="00F2510C" w:rsidRDefault="009030D2" w:rsidP="009030D2">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dny, které jsou uvedeny u jednotlivých klíčových aktivit. </w:t>
      </w:r>
    </w:p>
    <w:p w:rsidR="009030D2" w:rsidRDefault="009030D2" w:rsidP="009030D2">
      <w:pPr>
        <w:pStyle w:val="Odstavecseseznamem"/>
        <w:widowControl/>
        <w:numPr>
          <w:ilvl w:val="0"/>
          <w:numId w:val="10"/>
        </w:numPr>
        <w:spacing w:after="120" w:line="276" w:lineRule="auto"/>
        <w:rPr>
          <w:rFonts w:ascii="Arial" w:hAnsi="Arial" w:cs="Arial"/>
        </w:rPr>
      </w:pPr>
      <w:r>
        <w:rPr>
          <w:rFonts w:ascii="Arial" w:hAnsi="Arial" w:cs="Arial"/>
        </w:rPr>
        <w:t>Školení budou probíhat v termínech závazně stanovených uchazečem, které budou určeny na základě harmonogramu, který je uveden v </w:t>
      </w:r>
      <w:r w:rsidRPr="00DA6B06">
        <w:rPr>
          <w:rFonts w:ascii="Arial" w:hAnsi="Arial" w:cs="Arial"/>
        </w:rPr>
        <w:t>příloze č. 29 výzvy. Tj. uchazeč navrhne možné termíny školení daného kurzu a zadavatel si z nich vybere vyhovující</w:t>
      </w:r>
      <w:r>
        <w:rPr>
          <w:rFonts w:ascii="Arial" w:hAnsi="Arial" w:cs="Arial"/>
        </w:rPr>
        <w:t xml:space="preserve"> pro realizaci. Ne všechny navržené termíny musí být zadavatelem využity!</w:t>
      </w:r>
    </w:p>
    <w:p w:rsidR="009030D2" w:rsidRDefault="009030D2" w:rsidP="009030D2">
      <w:pPr>
        <w:pStyle w:val="Odstavecseseznamem"/>
        <w:widowControl/>
        <w:numPr>
          <w:ilvl w:val="0"/>
          <w:numId w:val="10"/>
        </w:numPr>
        <w:spacing w:after="200" w:line="276" w:lineRule="auto"/>
        <w:ind w:left="714" w:hanging="357"/>
        <w:rPr>
          <w:rFonts w:ascii="Arial" w:hAnsi="Arial" w:cs="Arial"/>
        </w:rPr>
      </w:pPr>
      <w:r w:rsidRPr="00F2510C">
        <w:rPr>
          <w:rFonts w:ascii="Arial" w:hAnsi="Arial" w:cs="Arial"/>
        </w:rPr>
        <w:t>V nabídce na č</w:t>
      </w:r>
      <w:r>
        <w:rPr>
          <w:rFonts w:ascii="Arial" w:hAnsi="Arial" w:cs="Arial"/>
        </w:rPr>
        <w:t xml:space="preserve">ást </w:t>
      </w:r>
      <w:r w:rsidR="0060122A">
        <w:rPr>
          <w:rFonts w:ascii="Arial" w:hAnsi="Arial" w:cs="Arial"/>
        </w:rPr>
        <w:t>2</w:t>
      </w:r>
      <w:r>
        <w:rPr>
          <w:rFonts w:ascii="Arial" w:hAnsi="Arial" w:cs="Arial"/>
        </w:rPr>
        <w:t xml:space="preserve"> uchazeči uvedou konkrétní </w:t>
      </w:r>
      <w:r w:rsidRPr="00F2510C">
        <w:rPr>
          <w:rFonts w:ascii="Arial" w:hAnsi="Arial" w:cs="Arial"/>
        </w:rPr>
        <w:t>návr</w:t>
      </w:r>
      <w:r>
        <w:rPr>
          <w:rFonts w:ascii="Arial" w:hAnsi="Arial" w:cs="Arial"/>
        </w:rPr>
        <w:t>h ubytovacího zařízení.</w:t>
      </w:r>
    </w:p>
    <w:p w:rsidR="009030D2" w:rsidRDefault="009030D2" w:rsidP="009030D2">
      <w:pPr>
        <w:rPr>
          <w:rFonts w:ascii="Arial" w:hAnsi="Arial" w:cs="Arial"/>
        </w:rPr>
      </w:pPr>
      <w:r>
        <w:rPr>
          <w:rFonts w:ascii="Arial" w:hAnsi="Arial" w:cs="Arial"/>
        </w:rPr>
        <w:br w:type="page"/>
      </w:r>
    </w:p>
    <w:p w:rsidR="009030D2" w:rsidRPr="00FB76DD" w:rsidRDefault="009030D2" w:rsidP="009030D2">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60122A">
        <w:rPr>
          <w:rFonts w:ascii="Arial" w:hAnsi="Arial" w:cs="Arial"/>
          <w:b/>
          <w:sz w:val="36"/>
          <w:szCs w:val="36"/>
        </w:rPr>
        <w:t>2</w:t>
      </w:r>
    </w:p>
    <w:p w:rsidR="009030D2" w:rsidRDefault="009030D2" w:rsidP="009030D2">
      <w:pPr>
        <w:pStyle w:val="Odstavecseseznamem"/>
        <w:ind w:left="714"/>
        <w:rPr>
          <w:rFonts w:ascii="Arial" w:hAnsi="Arial" w:cs="Arial"/>
        </w:rPr>
      </w:pPr>
    </w:p>
    <w:tbl>
      <w:tblPr>
        <w:tblStyle w:val="Mkatabulky"/>
        <w:tblW w:w="0" w:type="auto"/>
        <w:tblLook w:val="04A0" w:firstRow="1" w:lastRow="0" w:firstColumn="1" w:lastColumn="0" w:noHBand="0" w:noVBand="1"/>
      </w:tblPr>
      <w:tblGrid>
        <w:gridCol w:w="1317"/>
        <w:gridCol w:w="918"/>
        <w:gridCol w:w="7053"/>
      </w:tblGrid>
      <w:tr w:rsidR="009030D2" w:rsidRPr="00E24211" w:rsidTr="00916E0C">
        <w:tc>
          <w:tcPr>
            <w:tcW w:w="1317" w:type="dxa"/>
            <w:shd w:val="clear" w:color="auto" w:fill="D9D9D9" w:themeFill="background1" w:themeFillShade="D9"/>
            <w:vAlign w:val="center"/>
          </w:tcPr>
          <w:p w:rsidR="009030D2" w:rsidRPr="00E24211" w:rsidRDefault="009030D2" w:rsidP="00916E0C">
            <w:pPr>
              <w:rPr>
                <w:rFonts w:ascii="Arial" w:hAnsi="Arial" w:cs="Arial"/>
                <w:b/>
              </w:rPr>
            </w:pPr>
            <w:r w:rsidRPr="00E24211">
              <w:rPr>
                <w:rFonts w:ascii="Arial" w:hAnsi="Arial" w:cs="Arial"/>
                <w:b/>
              </w:rPr>
              <w:t>Název:</w:t>
            </w:r>
          </w:p>
        </w:tc>
        <w:tc>
          <w:tcPr>
            <w:tcW w:w="7971" w:type="dxa"/>
            <w:gridSpan w:val="2"/>
            <w:shd w:val="clear" w:color="auto" w:fill="D9D9D9" w:themeFill="background1" w:themeFillShade="D9"/>
          </w:tcPr>
          <w:p w:rsidR="009030D2" w:rsidRPr="004108DE" w:rsidRDefault="009030D2" w:rsidP="00916E0C">
            <w:pPr>
              <w:rPr>
                <w:rFonts w:ascii="Arial" w:hAnsi="Arial" w:cs="Arial"/>
                <w:b/>
                <w:sz w:val="28"/>
                <w:szCs w:val="28"/>
              </w:rPr>
            </w:pPr>
            <w:r w:rsidRPr="004108DE">
              <w:rPr>
                <w:rFonts w:ascii="Arial" w:hAnsi="Arial" w:cs="Arial"/>
                <w:b/>
                <w:sz w:val="28"/>
                <w:szCs w:val="28"/>
              </w:rPr>
              <w:t>Kompetence vedoucích zaměstnanců pro strategické a projektové řízení</w:t>
            </w:r>
          </w:p>
        </w:tc>
      </w:tr>
      <w:tr w:rsidR="009030D2" w:rsidRPr="006959BB" w:rsidTr="00916E0C">
        <w:trPr>
          <w:trHeight w:val="675"/>
        </w:trPr>
        <w:tc>
          <w:tcPr>
            <w:tcW w:w="1317" w:type="dxa"/>
            <w:vAlign w:val="center"/>
          </w:tcPr>
          <w:p w:rsidR="009030D2" w:rsidRDefault="009030D2" w:rsidP="00916E0C">
            <w:pPr>
              <w:rPr>
                <w:rFonts w:ascii="Arial" w:hAnsi="Arial" w:cs="Arial"/>
                <w:b/>
              </w:rPr>
            </w:pPr>
            <w:r>
              <w:rPr>
                <w:rFonts w:ascii="Arial" w:hAnsi="Arial" w:cs="Arial"/>
                <w:b/>
              </w:rPr>
              <w:t>Předmět zakázky:</w:t>
            </w:r>
          </w:p>
        </w:tc>
        <w:tc>
          <w:tcPr>
            <w:tcW w:w="7971" w:type="dxa"/>
            <w:gridSpan w:val="2"/>
          </w:tcPr>
          <w:p w:rsidR="009030D2" w:rsidRDefault="009030D2" w:rsidP="00916E0C">
            <w:pPr>
              <w:pStyle w:val="Odstavecseseznamem"/>
              <w:jc w:val="both"/>
              <w:rPr>
                <w:rFonts w:ascii="Arial" w:hAnsi="Arial" w:cs="Arial"/>
              </w:rPr>
            </w:pPr>
            <w:r>
              <w:rPr>
                <w:rFonts w:ascii="Arial" w:hAnsi="Arial" w:cs="Arial"/>
              </w:rPr>
              <w:t xml:space="preserve">Předmětem zakázky je zajištění realizace vzdělávání pro vedoucí a vybrané zaměstnance Úřadu městského obvodu Moravská Ostrava a Přívoz, a také ubytování a stravování pro účastníky vzdělávacích kurzů. Cílem vzdělávání je poskytnout zaměstnancům úřadu nezbytné znalosti a dovednosti pro realizaci změny stylu práce z operativního na strategický (dlouhodobě zaměřený) a na implementaci projektového přístupu k realizaci vybraných aktivit. </w:t>
            </w:r>
          </w:p>
          <w:p w:rsidR="009030D2" w:rsidRDefault="009030D2" w:rsidP="00916E0C">
            <w:pPr>
              <w:pStyle w:val="Odstavecseseznamem"/>
              <w:rPr>
                <w:rFonts w:ascii="Arial" w:hAnsi="Arial" w:cs="Arial"/>
              </w:rPr>
            </w:pPr>
          </w:p>
          <w:p w:rsidR="009030D2" w:rsidRDefault="009030D2" w:rsidP="00916E0C">
            <w:pPr>
              <w:pStyle w:val="Odstavecseseznamem"/>
              <w:jc w:val="both"/>
              <w:rPr>
                <w:rFonts w:ascii="Arial" w:hAnsi="Arial" w:cs="Arial"/>
              </w:rPr>
            </w:pPr>
            <w:r>
              <w:rPr>
                <w:rFonts w:ascii="Arial" w:hAnsi="Arial" w:cs="Arial"/>
              </w:rPr>
              <w:t>Předmět zakázky je tvořen celkem 3 navazujícími výukovými bloky o různých úrovních, které absolvuje 30 osob rozdělených vždy do 2 skupin, kdy každá skupina pojede samostatně (kumulativně 90 osob).</w:t>
            </w:r>
          </w:p>
          <w:p w:rsidR="009030D2" w:rsidRDefault="009030D2" w:rsidP="00916E0C">
            <w:pPr>
              <w:pStyle w:val="Odstavecseseznamem"/>
              <w:rPr>
                <w:rFonts w:ascii="Arial" w:hAnsi="Arial" w:cs="Arial"/>
              </w:rPr>
            </w:pPr>
          </w:p>
          <w:p w:rsidR="009030D2" w:rsidRDefault="009030D2" w:rsidP="00916E0C">
            <w:pPr>
              <w:pStyle w:val="Odstavecseseznamem"/>
              <w:jc w:val="both"/>
              <w:rPr>
                <w:rFonts w:ascii="Arial" w:hAnsi="Arial" w:cs="Arial"/>
              </w:rPr>
            </w:pPr>
            <w:r>
              <w:rPr>
                <w:rFonts w:ascii="Arial" w:hAnsi="Arial" w:cs="Arial"/>
              </w:rPr>
              <w:t>Realizace kurzů bude probíhat v </w:t>
            </w:r>
            <w:r w:rsidRPr="00EC2021">
              <w:rPr>
                <w:rFonts w:ascii="Arial" w:hAnsi="Arial" w:cs="Arial"/>
                <w:b/>
              </w:rPr>
              <w:t>uchazečem navržených prostorách</w:t>
            </w:r>
            <w:r>
              <w:rPr>
                <w:rFonts w:ascii="Arial" w:hAnsi="Arial" w:cs="Arial"/>
              </w:rPr>
              <w:t>, kde zajistí veškerou prezentační techniku pro školení, ubytování a stravu pro všechny zúčastněné dle požadavků níže:</w:t>
            </w:r>
          </w:p>
          <w:p w:rsidR="009030D2" w:rsidRDefault="009030D2" w:rsidP="009030D2">
            <w:pPr>
              <w:pStyle w:val="Odstavecseseznamem"/>
              <w:numPr>
                <w:ilvl w:val="0"/>
                <w:numId w:val="10"/>
              </w:numPr>
              <w:rPr>
                <w:rFonts w:ascii="Arial" w:hAnsi="Arial" w:cs="Arial"/>
              </w:rPr>
            </w:pPr>
            <w:r>
              <w:rPr>
                <w:rFonts w:ascii="Arial" w:hAnsi="Arial" w:cs="Arial"/>
              </w:rPr>
              <w:t>Dojezdová vzdálenost max. 60 km od Ostravy, v rámci MSK</w:t>
            </w:r>
          </w:p>
          <w:p w:rsidR="009030D2" w:rsidRDefault="009030D2" w:rsidP="009030D2">
            <w:pPr>
              <w:pStyle w:val="Odstavecseseznamem"/>
              <w:numPr>
                <w:ilvl w:val="0"/>
                <w:numId w:val="10"/>
              </w:numPr>
              <w:rPr>
                <w:rFonts w:ascii="Arial" w:hAnsi="Arial" w:cs="Arial"/>
              </w:rPr>
            </w:pPr>
            <w:r>
              <w:rPr>
                <w:rFonts w:ascii="Arial" w:hAnsi="Arial" w:cs="Arial"/>
              </w:rPr>
              <w:t>Kapacita ubytovacího zařízení min. 15 osob</w:t>
            </w:r>
          </w:p>
          <w:p w:rsidR="009030D2" w:rsidRDefault="009030D2" w:rsidP="009030D2">
            <w:pPr>
              <w:pStyle w:val="Odstavecseseznamem"/>
              <w:numPr>
                <w:ilvl w:val="0"/>
                <w:numId w:val="10"/>
              </w:numPr>
              <w:rPr>
                <w:rFonts w:ascii="Arial" w:hAnsi="Arial" w:cs="Arial"/>
              </w:rPr>
            </w:pPr>
            <w:r>
              <w:rPr>
                <w:rFonts w:ascii="Arial" w:hAnsi="Arial" w:cs="Arial"/>
              </w:rPr>
              <w:t>Dostatečná kapacita pro parkování u ubytovacího zařízení a dobrá dopravní dostupnost nutná</w:t>
            </w:r>
          </w:p>
          <w:p w:rsidR="009030D2" w:rsidRDefault="009030D2" w:rsidP="009030D2">
            <w:pPr>
              <w:pStyle w:val="Odstavecseseznamem"/>
              <w:numPr>
                <w:ilvl w:val="0"/>
                <w:numId w:val="10"/>
              </w:numPr>
              <w:rPr>
                <w:rFonts w:ascii="Arial" w:hAnsi="Arial" w:cs="Arial"/>
              </w:rPr>
            </w:pPr>
            <w:r>
              <w:rPr>
                <w:rFonts w:ascii="Arial" w:hAnsi="Arial" w:cs="Arial"/>
              </w:rPr>
              <w:t>Ubytování v max. dvoulůžkových pokojích s vlastním sociálním vybavením (WC, sprcha)</w:t>
            </w:r>
          </w:p>
          <w:p w:rsidR="009030D2" w:rsidRDefault="009030D2" w:rsidP="009030D2">
            <w:pPr>
              <w:pStyle w:val="Odstavecseseznamem"/>
              <w:numPr>
                <w:ilvl w:val="0"/>
                <w:numId w:val="10"/>
              </w:numPr>
              <w:rPr>
                <w:rFonts w:ascii="Arial" w:hAnsi="Arial" w:cs="Arial"/>
              </w:rPr>
            </w:pPr>
            <w:r>
              <w:rPr>
                <w:rFonts w:ascii="Arial" w:hAnsi="Arial" w:cs="Arial"/>
              </w:rPr>
              <w:t>V ubytovacím zařízení budou k dispozici 1 salonek (místnost) pro 15 osob, s příslušným vybavením pro školení (zajistí lektor).</w:t>
            </w:r>
          </w:p>
          <w:p w:rsidR="009030D2" w:rsidRDefault="009030D2" w:rsidP="009030D2">
            <w:pPr>
              <w:pStyle w:val="Odstavecseseznamem"/>
              <w:numPr>
                <w:ilvl w:val="0"/>
                <w:numId w:val="10"/>
              </w:numPr>
              <w:rPr>
                <w:rFonts w:ascii="Arial" w:hAnsi="Arial" w:cs="Arial"/>
              </w:rPr>
            </w:pPr>
            <w:r>
              <w:rPr>
                <w:rFonts w:ascii="Arial" w:hAnsi="Arial" w:cs="Arial"/>
              </w:rPr>
              <w:t xml:space="preserve">V ubytovacím zařízení bude zajištěn přístup k internetu pomocí </w:t>
            </w:r>
            <w:proofErr w:type="spellStart"/>
            <w:r>
              <w:rPr>
                <w:rFonts w:ascii="Arial" w:hAnsi="Arial" w:cs="Arial"/>
              </w:rPr>
              <w:t>Wi-fi</w:t>
            </w:r>
            <w:proofErr w:type="spellEnd"/>
            <w:r>
              <w:rPr>
                <w:rFonts w:ascii="Arial" w:hAnsi="Arial" w:cs="Arial"/>
              </w:rPr>
              <w:t xml:space="preserve"> a to alespoň ve společných prostorách.</w:t>
            </w:r>
          </w:p>
          <w:p w:rsidR="009030D2" w:rsidRDefault="009030D2" w:rsidP="00916E0C">
            <w:pPr>
              <w:rPr>
                <w:rFonts w:ascii="Arial" w:hAnsi="Arial" w:cs="Arial"/>
              </w:rPr>
            </w:pPr>
          </w:p>
          <w:p w:rsidR="009030D2" w:rsidRDefault="009030D2" w:rsidP="00916E0C">
            <w:pPr>
              <w:rPr>
                <w:rFonts w:ascii="Arial" w:hAnsi="Arial" w:cs="Arial"/>
              </w:rPr>
            </w:pPr>
            <w:r w:rsidRPr="007372D0">
              <w:rPr>
                <w:rFonts w:ascii="Arial" w:hAnsi="Arial" w:cs="Arial"/>
                <w:b/>
              </w:rPr>
              <w:t xml:space="preserve">Ubytování </w:t>
            </w:r>
            <w:r>
              <w:rPr>
                <w:rFonts w:ascii="Arial" w:hAnsi="Arial" w:cs="Arial"/>
              </w:rPr>
              <w:t>je požadováno zajistit 6x a to vždy na dvě noci, celkem tedy na 12 nocí a to pro skupiny o 15 lidech. Příjezd skupiny proběhne vždy první den v odpoledních hodinách a odjezd třetí den v poledne. Účastníci budou první den ubytováni bezprostředně po svém příjezdu, tj. max. do 14:00 a v poslední den se odhlásí opět do 14:00.</w:t>
            </w:r>
          </w:p>
          <w:p w:rsidR="009030D2" w:rsidRPr="00C06E18" w:rsidRDefault="009030D2" w:rsidP="00916E0C">
            <w:pPr>
              <w:rPr>
                <w:rFonts w:ascii="Arial" w:hAnsi="Arial" w:cs="Arial"/>
              </w:rPr>
            </w:pPr>
          </w:p>
          <w:p w:rsidR="009030D2" w:rsidRDefault="009030D2" w:rsidP="00916E0C">
            <w:pPr>
              <w:rPr>
                <w:rFonts w:ascii="Arial" w:hAnsi="Arial" w:cs="Arial"/>
              </w:rPr>
            </w:pPr>
            <w:r w:rsidRPr="003C6567">
              <w:rPr>
                <w:rFonts w:ascii="Arial" w:hAnsi="Arial" w:cs="Arial"/>
                <w:b/>
              </w:rPr>
              <w:t xml:space="preserve">Stravování </w:t>
            </w:r>
            <w:r>
              <w:rPr>
                <w:rFonts w:ascii="Arial" w:hAnsi="Arial" w:cs="Arial"/>
              </w:rPr>
              <w:t>je požadováno zajistit pro 15 osob ve formě plné penze s pitným režimem (1. den: odpolední svačina, teplá večeře; 2. den: snídaně formou bufetu, dopolední svačina, teplý oběd, odpolední svačina, teplá večeře; 3. Den: snídaně formou bufetu, dopolední svačina, teplý oběd)</w:t>
            </w:r>
          </w:p>
          <w:p w:rsidR="009030D2" w:rsidRPr="007372D0" w:rsidRDefault="009030D2" w:rsidP="00916E0C">
            <w:pPr>
              <w:rPr>
                <w:rFonts w:ascii="Arial" w:hAnsi="Arial" w:cs="Arial"/>
              </w:rPr>
            </w:pPr>
            <w:r w:rsidRPr="00F870FB">
              <w:rPr>
                <w:rFonts w:ascii="Arial" w:hAnsi="Arial" w:cs="Arial"/>
              </w:rPr>
              <w:t>Součástí oběda bude polévka, hlavní jídlo (výběr z 2 jídel) a zákusek. V případě teplé večeře je požadován výběr z 2 jídel.</w:t>
            </w:r>
            <w:r>
              <w:rPr>
                <w:rFonts w:ascii="Arial" w:hAnsi="Arial" w:cs="Arial"/>
              </w:rPr>
              <w:t xml:space="preserve"> </w:t>
            </w:r>
          </w:p>
          <w:p w:rsidR="009030D2" w:rsidRDefault="009030D2" w:rsidP="00916E0C">
            <w:pPr>
              <w:pStyle w:val="Odstavecseseznamem"/>
              <w:rPr>
                <w:rFonts w:ascii="Arial" w:hAnsi="Arial" w:cs="Arial"/>
                <w:b/>
              </w:rPr>
            </w:pPr>
          </w:p>
          <w:p w:rsidR="009030D2" w:rsidRDefault="009030D2" w:rsidP="00916E0C">
            <w:pPr>
              <w:pStyle w:val="Bezmezer"/>
              <w:jc w:val="both"/>
              <w:rPr>
                <w:rFonts w:ascii="Arial" w:hAnsi="Arial" w:cs="Arial"/>
              </w:rPr>
            </w:pPr>
            <w:r>
              <w:rPr>
                <w:rFonts w:ascii="Arial" w:hAnsi="Arial" w:cs="Arial"/>
              </w:rPr>
              <w:t xml:space="preserve">Součástí nabídkové ceny jsou veškeré náklady spojené s řádným zajištěním předmětu plnění: zejména odměna lektora, cestovné, ubytování a stravné lektora, školící pomůcky a tištěné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jsou součástí nabídkové ceny. Taktéž je </w:t>
            </w:r>
            <w:r>
              <w:rPr>
                <w:rFonts w:ascii="Arial" w:hAnsi="Arial" w:cs="Arial"/>
              </w:rPr>
              <w:lastRenderedPageBreak/>
              <w:t xml:space="preserve">součástí nabídkové ceny ubytování účastníků viz výše. </w:t>
            </w:r>
          </w:p>
          <w:p w:rsidR="009030D2" w:rsidRDefault="009030D2" w:rsidP="00916E0C">
            <w:pPr>
              <w:pStyle w:val="Bezmezer"/>
              <w:jc w:val="both"/>
              <w:rPr>
                <w:rFonts w:ascii="Arial" w:hAnsi="Arial" w:cs="Arial"/>
              </w:rPr>
            </w:pPr>
            <w:r>
              <w:rPr>
                <w:rFonts w:ascii="Arial" w:hAnsi="Arial" w:cs="Arial"/>
              </w:rPr>
              <w:t>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75 % úspěšnosti a 80% účasti na kurzu. Testy budou rovněž nedílnou součástí této dokumentace. Těm, kteří nezískají osvědčení o úspěšném absolvování kurzu, bude vystaveno potvrzení o absolvování kurzu.</w:t>
            </w:r>
          </w:p>
          <w:p w:rsidR="009030D2" w:rsidRDefault="009030D2" w:rsidP="00916E0C">
            <w:pPr>
              <w:pStyle w:val="Odstavecseseznamem"/>
              <w:rPr>
                <w:rFonts w:ascii="Arial" w:hAnsi="Arial" w:cs="Arial"/>
                <w:b/>
              </w:rPr>
            </w:pPr>
          </w:p>
          <w:p w:rsidR="009030D2" w:rsidRDefault="009030D2" w:rsidP="00916E0C">
            <w:pPr>
              <w:pStyle w:val="Odstavecseseznamem"/>
              <w:jc w:val="both"/>
              <w:rPr>
                <w:rFonts w:ascii="Arial" w:hAnsi="Arial" w:cs="Arial"/>
              </w:rPr>
            </w:pPr>
            <w:r w:rsidRPr="00445C05">
              <w:rPr>
                <w:rFonts w:ascii="Arial" w:hAnsi="Arial" w:cs="Arial"/>
                <w:b/>
              </w:rPr>
              <w:t>Požadovanými metodami výuky jsou:</w:t>
            </w:r>
            <w:r>
              <w:rPr>
                <w:rFonts w:ascii="Arial" w:hAnsi="Arial" w:cs="Arial"/>
              </w:rPr>
              <w:t xml:space="preserve"> prezentace, příklady z praxe, případové studie, koučování, týmová práce, hraní rolí, nácvik modelových situací a testování. </w:t>
            </w:r>
          </w:p>
          <w:p w:rsidR="009030D2" w:rsidRDefault="009030D2" w:rsidP="00916E0C">
            <w:pPr>
              <w:rPr>
                <w:rFonts w:ascii="Arial" w:hAnsi="Arial" w:cs="Arial"/>
              </w:rPr>
            </w:pPr>
            <w:r>
              <w:rPr>
                <w:rFonts w:ascii="Arial" w:hAnsi="Arial" w:cs="Arial"/>
              </w:rPr>
              <w:t xml:space="preserve"> </w:t>
            </w:r>
          </w:p>
          <w:p w:rsidR="009030D2" w:rsidRDefault="009030D2" w:rsidP="00916E0C">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a zohledňovat potřeby cílové skupiny! </w:t>
            </w:r>
            <w:r w:rsidRPr="00E35F8F">
              <w:rPr>
                <w:rFonts w:ascii="Arial" w:hAnsi="Arial" w:cs="Arial"/>
              </w:rPr>
              <w:t>Název kurzu se nemusí shodovat s názvem uvedeným v zadávací dokumentaci.</w:t>
            </w:r>
            <w:r>
              <w:rPr>
                <w:rFonts w:ascii="Arial" w:hAnsi="Arial" w:cs="Arial"/>
              </w:rPr>
              <w:t xml:space="preserve"> </w:t>
            </w:r>
          </w:p>
          <w:p w:rsidR="009030D2" w:rsidRDefault="009030D2" w:rsidP="00916E0C">
            <w:pPr>
              <w:jc w:val="both"/>
              <w:rPr>
                <w:rFonts w:ascii="Arial" w:hAnsi="Arial" w:cs="Arial"/>
              </w:rPr>
            </w:pPr>
          </w:p>
          <w:p w:rsidR="009030D2" w:rsidRPr="0037453F" w:rsidRDefault="009030D2" w:rsidP="00916E0C">
            <w:pPr>
              <w:jc w:val="both"/>
              <w:rPr>
                <w:rFonts w:ascii="Arial" w:hAnsi="Arial" w:cs="Arial"/>
                <w:b/>
              </w:rPr>
            </w:pPr>
            <w:r w:rsidRPr="0037453F">
              <w:rPr>
                <w:rFonts w:ascii="Arial" w:hAnsi="Arial" w:cs="Arial"/>
                <w:b/>
              </w:rPr>
              <w:t>Tyto kurzy budou probíhat vždy od pátku do soboty!!!</w:t>
            </w:r>
          </w:p>
          <w:p w:rsidR="009030D2" w:rsidRPr="00445C05" w:rsidRDefault="009030D2" w:rsidP="00916E0C">
            <w:pPr>
              <w:rPr>
                <w:rFonts w:ascii="Arial" w:hAnsi="Arial" w:cs="Arial"/>
              </w:rPr>
            </w:pPr>
          </w:p>
        </w:tc>
      </w:tr>
      <w:tr w:rsidR="009030D2" w:rsidRPr="00AA5ED0" w:rsidTr="00916E0C">
        <w:trPr>
          <w:trHeight w:val="289"/>
        </w:trPr>
        <w:tc>
          <w:tcPr>
            <w:tcW w:w="9288" w:type="dxa"/>
            <w:gridSpan w:val="3"/>
            <w:shd w:val="clear" w:color="auto" w:fill="F2F2F2" w:themeFill="background1" w:themeFillShade="F2"/>
            <w:vAlign w:val="center"/>
          </w:tcPr>
          <w:p w:rsidR="009030D2" w:rsidRPr="00AA5ED0" w:rsidRDefault="009030D2" w:rsidP="00916E0C">
            <w:pPr>
              <w:pStyle w:val="Odstavecseseznamem"/>
              <w:jc w:val="center"/>
              <w:rPr>
                <w:rFonts w:ascii="Arial" w:hAnsi="Arial" w:cs="Arial"/>
                <w:b/>
              </w:rPr>
            </w:pPr>
            <w:r>
              <w:rPr>
                <w:rFonts w:ascii="Arial" w:hAnsi="Arial" w:cs="Arial"/>
                <w:b/>
              </w:rPr>
              <w:lastRenderedPageBreak/>
              <w:t xml:space="preserve">Kompetence vedoucích zaměstnanců pro strategické a projektové řízení </w:t>
            </w:r>
          </w:p>
        </w:tc>
      </w:tr>
      <w:tr w:rsidR="009030D2" w:rsidRPr="0061799D" w:rsidTr="00916E0C">
        <w:trPr>
          <w:trHeight w:val="289"/>
        </w:trPr>
        <w:tc>
          <w:tcPr>
            <w:tcW w:w="2235" w:type="dxa"/>
            <w:gridSpan w:val="2"/>
            <w:vAlign w:val="center"/>
          </w:tcPr>
          <w:p w:rsidR="009030D2" w:rsidRDefault="009030D2" w:rsidP="00916E0C">
            <w:pPr>
              <w:rPr>
                <w:rFonts w:ascii="Arial" w:hAnsi="Arial" w:cs="Arial"/>
                <w:b/>
              </w:rPr>
            </w:pPr>
            <w:r>
              <w:rPr>
                <w:rFonts w:ascii="Arial" w:hAnsi="Arial" w:cs="Arial"/>
                <w:b/>
              </w:rPr>
              <w:t>Počet účastníků:</w:t>
            </w:r>
          </w:p>
        </w:tc>
        <w:tc>
          <w:tcPr>
            <w:tcW w:w="7053" w:type="dxa"/>
            <w:vAlign w:val="center"/>
          </w:tcPr>
          <w:p w:rsidR="009030D2" w:rsidRPr="0061799D" w:rsidRDefault="009030D2" w:rsidP="00916E0C">
            <w:pPr>
              <w:rPr>
                <w:rFonts w:ascii="Arial" w:hAnsi="Arial" w:cs="Arial"/>
              </w:rPr>
            </w:pPr>
            <w:r>
              <w:rPr>
                <w:rFonts w:ascii="Arial" w:hAnsi="Arial" w:cs="Arial"/>
              </w:rPr>
              <w:t>30</w:t>
            </w:r>
          </w:p>
        </w:tc>
      </w:tr>
      <w:tr w:rsidR="009030D2" w:rsidRPr="0061799D" w:rsidTr="00916E0C">
        <w:trPr>
          <w:trHeight w:val="289"/>
        </w:trPr>
        <w:tc>
          <w:tcPr>
            <w:tcW w:w="2235" w:type="dxa"/>
            <w:gridSpan w:val="2"/>
            <w:vAlign w:val="center"/>
          </w:tcPr>
          <w:p w:rsidR="009030D2" w:rsidRDefault="009030D2" w:rsidP="00916E0C">
            <w:pPr>
              <w:rPr>
                <w:rFonts w:ascii="Arial" w:hAnsi="Arial" w:cs="Arial"/>
                <w:b/>
              </w:rPr>
            </w:pPr>
            <w:r>
              <w:rPr>
                <w:rFonts w:ascii="Arial" w:hAnsi="Arial" w:cs="Arial"/>
                <w:b/>
              </w:rPr>
              <w:t>Počet skupin:</w:t>
            </w:r>
          </w:p>
        </w:tc>
        <w:tc>
          <w:tcPr>
            <w:tcW w:w="7053" w:type="dxa"/>
            <w:vAlign w:val="center"/>
          </w:tcPr>
          <w:p w:rsidR="009030D2" w:rsidRDefault="009030D2" w:rsidP="00916E0C">
            <w:pPr>
              <w:rPr>
                <w:rFonts w:ascii="Arial" w:hAnsi="Arial" w:cs="Arial"/>
              </w:rPr>
            </w:pPr>
            <w:r>
              <w:rPr>
                <w:rFonts w:ascii="Arial" w:hAnsi="Arial" w:cs="Arial"/>
              </w:rPr>
              <w:t xml:space="preserve">2 (každá skupina pojede na své školení v jiném termínu) </w:t>
            </w:r>
          </w:p>
        </w:tc>
      </w:tr>
      <w:tr w:rsidR="009030D2" w:rsidRPr="0061799D" w:rsidTr="00916E0C">
        <w:trPr>
          <w:trHeight w:val="289"/>
        </w:trPr>
        <w:tc>
          <w:tcPr>
            <w:tcW w:w="2235" w:type="dxa"/>
            <w:gridSpan w:val="2"/>
            <w:vAlign w:val="center"/>
          </w:tcPr>
          <w:p w:rsidR="009030D2" w:rsidRDefault="009030D2" w:rsidP="00916E0C">
            <w:pPr>
              <w:rPr>
                <w:rFonts w:ascii="Arial" w:hAnsi="Arial" w:cs="Arial"/>
                <w:b/>
              </w:rPr>
            </w:pPr>
            <w:r>
              <w:rPr>
                <w:rFonts w:ascii="Arial" w:hAnsi="Arial" w:cs="Arial"/>
                <w:b/>
              </w:rPr>
              <w:t>Rozsah výuky:</w:t>
            </w:r>
          </w:p>
        </w:tc>
        <w:tc>
          <w:tcPr>
            <w:tcW w:w="7053" w:type="dxa"/>
            <w:vAlign w:val="center"/>
          </w:tcPr>
          <w:p w:rsidR="009030D2" w:rsidRPr="0061799D" w:rsidRDefault="009030D2" w:rsidP="00916E0C">
            <w:pPr>
              <w:jc w:val="both"/>
              <w:rPr>
                <w:rFonts w:ascii="Arial" w:hAnsi="Arial" w:cs="Arial"/>
              </w:rPr>
            </w:pPr>
            <w:r>
              <w:rPr>
                <w:rFonts w:ascii="Arial" w:hAnsi="Arial" w:cs="Arial"/>
              </w:rPr>
              <w:t>6 výukových dnů pro každou skupinu (celkem 48 hodin výuky realizované v 9 kalendářních dnech u každé skupiny – 3 soustředění po 16 hodinách výuky ve třech dnech za každou skupinu. Výuka na každém školení proběhne v pátek – 4 hod., v sobotu – 8 hod., v neděli – 4 hod.)</w:t>
            </w:r>
          </w:p>
        </w:tc>
      </w:tr>
      <w:tr w:rsidR="009030D2" w:rsidRPr="0061799D" w:rsidTr="00916E0C">
        <w:trPr>
          <w:trHeight w:val="289"/>
        </w:trPr>
        <w:tc>
          <w:tcPr>
            <w:tcW w:w="2235" w:type="dxa"/>
            <w:gridSpan w:val="2"/>
            <w:vAlign w:val="center"/>
          </w:tcPr>
          <w:p w:rsidR="009030D2" w:rsidRDefault="009030D2" w:rsidP="00916E0C">
            <w:pPr>
              <w:rPr>
                <w:rFonts w:ascii="Arial" w:hAnsi="Arial" w:cs="Arial"/>
                <w:b/>
              </w:rPr>
            </w:pPr>
            <w:r>
              <w:rPr>
                <w:rFonts w:ascii="Arial" w:hAnsi="Arial" w:cs="Arial"/>
                <w:b/>
              </w:rPr>
              <w:t>Plánovaný termín realizace:</w:t>
            </w:r>
          </w:p>
        </w:tc>
        <w:tc>
          <w:tcPr>
            <w:tcW w:w="7053" w:type="dxa"/>
            <w:vAlign w:val="center"/>
          </w:tcPr>
          <w:p w:rsidR="009030D2" w:rsidRPr="0061799D" w:rsidRDefault="009030D2" w:rsidP="00916E0C">
            <w:pPr>
              <w:rPr>
                <w:rFonts w:ascii="Arial" w:hAnsi="Arial" w:cs="Arial"/>
              </w:rPr>
            </w:pPr>
            <w:r w:rsidRPr="00E35F8F">
              <w:rPr>
                <w:rFonts w:ascii="Arial" w:hAnsi="Arial" w:cs="Arial"/>
              </w:rPr>
              <w:t>03/2018 – 05/2018</w:t>
            </w:r>
          </w:p>
        </w:tc>
      </w:tr>
      <w:tr w:rsidR="009030D2" w:rsidRPr="004853C5" w:rsidTr="00916E0C">
        <w:trPr>
          <w:trHeight w:val="289"/>
        </w:trPr>
        <w:tc>
          <w:tcPr>
            <w:tcW w:w="2235" w:type="dxa"/>
            <w:gridSpan w:val="2"/>
            <w:vAlign w:val="center"/>
          </w:tcPr>
          <w:p w:rsidR="009030D2" w:rsidRDefault="009030D2" w:rsidP="00916E0C">
            <w:pPr>
              <w:rPr>
                <w:rFonts w:ascii="Arial" w:hAnsi="Arial" w:cs="Arial"/>
                <w:b/>
              </w:rPr>
            </w:pPr>
            <w:r>
              <w:rPr>
                <w:rFonts w:ascii="Arial" w:hAnsi="Arial" w:cs="Arial"/>
                <w:b/>
              </w:rPr>
              <w:t>Obsahová náplň:</w:t>
            </w:r>
          </w:p>
        </w:tc>
        <w:tc>
          <w:tcPr>
            <w:tcW w:w="7053" w:type="dxa"/>
            <w:vAlign w:val="center"/>
          </w:tcPr>
          <w:p w:rsidR="009030D2" w:rsidRPr="00445C05" w:rsidRDefault="009030D2" w:rsidP="00916E0C">
            <w:pPr>
              <w:rPr>
                <w:rFonts w:ascii="Arial" w:hAnsi="Arial" w:cs="Arial"/>
                <w:b/>
              </w:rPr>
            </w:pPr>
            <w:r w:rsidRPr="00445C05">
              <w:rPr>
                <w:rFonts w:ascii="Arial" w:hAnsi="Arial" w:cs="Arial"/>
              </w:rPr>
              <w:t xml:space="preserve"> </w:t>
            </w:r>
            <w:r w:rsidRPr="00445C05">
              <w:rPr>
                <w:rFonts w:ascii="Arial" w:hAnsi="Arial" w:cs="Arial"/>
                <w:b/>
              </w:rPr>
              <w:t xml:space="preserve">1. blok: strategické řízení úřadu a plánovaní strategie </w:t>
            </w:r>
          </w:p>
          <w:p w:rsidR="009030D2" w:rsidRPr="00445C05" w:rsidRDefault="009030D2" w:rsidP="009030D2">
            <w:pPr>
              <w:pStyle w:val="Odstavecseseznamem"/>
              <w:numPr>
                <w:ilvl w:val="0"/>
                <w:numId w:val="11"/>
              </w:numPr>
              <w:ind w:left="924" w:hanging="357"/>
              <w:rPr>
                <w:rFonts w:ascii="Arial" w:hAnsi="Arial" w:cs="Arial"/>
              </w:rPr>
            </w:pPr>
            <w:r w:rsidRPr="00445C05">
              <w:rPr>
                <w:rFonts w:ascii="Arial" w:hAnsi="Arial" w:cs="Arial"/>
              </w:rPr>
              <w:t>1. den: vznik strategie</w:t>
            </w:r>
          </w:p>
          <w:p w:rsidR="009030D2" w:rsidRPr="00445C05" w:rsidRDefault="009030D2" w:rsidP="009030D2">
            <w:pPr>
              <w:pStyle w:val="Odstavecseseznamem"/>
              <w:numPr>
                <w:ilvl w:val="0"/>
                <w:numId w:val="11"/>
              </w:numPr>
              <w:ind w:left="924" w:hanging="357"/>
              <w:rPr>
                <w:rFonts w:ascii="Arial" w:hAnsi="Arial" w:cs="Arial"/>
              </w:rPr>
            </w:pPr>
            <w:r w:rsidRPr="00445C05">
              <w:rPr>
                <w:rFonts w:ascii="Arial" w:hAnsi="Arial" w:cs="Arial"/>
              </w:rPr>
              <w:t xml:space="preserve">2. </w:t>
            </w:r>
            <w:r>
              <w:rPr>
                <w:rFonts w:ascii="Arial" w:hAnsi="Arial" w:cs="Arial"/>
              </w:rPr>
              <w:t>den</w:t>
            </w:r>
            <w:r w:rsidRPr="00445C05">
              <w:rPr>
                <w:rFonts w:ascii="Arial" w:hAnsi="Arial" w:cs="Arial"/>
              </w:rPr>
              <w:t>: strategické dokumenty a jejich tvorba, strategické řízení lidských zdrojů</w:t>
            </w:r>
          </w:p>
          <w:p w:rsidR="009030D2" w:rsidRDefault="009030D2" w:rsidP="009030D2">
            <w:pPr>
              <w:pStyle w:val="Odstavecseseznamem"/>
              <w:numPr>
                <w:ilvl w:val="0"/>
                <w:numId w:val="11"/>
              </w:numPr>
              <w:ind w:left="924" w:hanging="357"/>
            </w:pPr>
            <w:r w:rsidRPr="00445C05">
              <w:rPr>
                <w:rFonts w:ascii="Arial" w:hAnsi="Arial" w:cs="Arial"/>
              </w:rPr>
              <w:t xml:space="preserve">3. </w:t>
            </w:r>
            <w:r>
              <w:rPr>
                <w:rFonts w:ascii="Arial" w:hAnsi="Arial" w:cs="Arial"/>
              </w:rPr>
              <w:t>den</w:t>
            </w:r>
            <w:r w:rsidRPr="00445C05">
              <w:rPr>
                <w:rFonts w:ascii="Arial" w:hAnsi="Arial" w:cs="Arial"/>
              </w:rPr>
              <w:t>: strategické řízení lidských zdrojů (dokončení)</w:t>
            </w:r>
            <w:r>
              <w:t xml:space="preserve"> </w:t>
            </w:r>
          </w:p>
          <w:p w:rsidR="009030D2" w:rsidRPr="00445C05" w:rsidRDefault="009030D2" w:rsidP="00916E0C">
            <w:pPr>
              <w:rPr>
                <w:rFonts w:ascii="Arial" w:hAnsi="Arial" w:cs="Arial"/>
                <w:b/>
              </w:rPr>
            </w:pPr>
            <w:r w:rsidRPr="00445C05">
              <w:rPr>
                <w:rFonts w:ascii="Arial" w:hAnsi="Arial" w:cs="Arial"/>
                <w:b/>
              </w:rPr>
              <w:t xml:space="preserve">2. blok: projektové řízení, komunikace a týmová spolupráce </w:t>
            </w:r>
          </w:p>
          <w:p w:rsidR="009030D2" w:rsidRPr="00445C05" w:rsidRDefault="009030D2" w:rsidP="009030D2">
            <w:pPr>
              <w:pStyle w:val="Odstavecseseznamem"/>
              <w:numPr>
                <w:ilvl w:val="0"/>
                <w:numId w:val="12"/>
              </w:numPr>
              <w:rPr>
                <w:rFonts w:ascii="Arial" w:hAnsi="Arial" w:cs="Arial"/>
              </w:rPr>
            </w:pPr>
            <w:r w:rsidRPr="00445C05">
              <w:rPr>
                <w:rFonts w:ascii="Arial" w:hAnsi="Arial" w:cs="Arial"/>
              </w:rPr>
              <w:t xml:space="preserve">1. </w:t>
            </w:r>
            <w:r>
              <w:rPr>
                <w:rFonts w:ascii="Arial" w:hAnsi="Arial" w:cs="Arial"/>
              </w:rPr>
              <w:t>d</w:t>
            </w:r>
            <w:r w:rsidRPr="00445C05">
              <w:rPr>
                <w:rFonts w:ascii="Arial" w:hAnsi="Arial" w:cs="Arial"/>
              </w:rPr>
              <w:t>en: projektové řízení při činnostech vedoucího zaměstnance</w:t>
            </w:r>
          </w:p>
          <w:p w:rsidR="009030D2" w:rsidRPr="00445C05" w:rsidRDefault="009030D2" w:rsidP="009030D2">
            <w:pPr>
              <w:pStyle w:val="Odstavecseseznamem"/>
              <w:numPr>
                <w:ilvl w:val="0"/>
                <w:numId w:val="12"/>
              </w:numPr>
              <w:rPr>
                <w:rFonts w:ascii="Arial" w:hAnsi="Arial" w:cs="Arial"/>
              </w:rPr>
            </w:pPr>
            <w:r w:rsidRPr="00445C05">
              <w:rPr>
                <w:rFonts w:ascii="Arial" w:hAnsi="Arial" w:cs="Arial"/>
              </w:rPr>
              <w:t xml:space="preserve">2. </w:t>
            </w:r>
            <w:r>
              <w:rPr>
                <w:rFonts w:ascii="Arial" w:hAnsi="Arial" w:cs="Arial"/>
              </w:rPr>
              <w:t>d</w:t>
            </w:r>
            <w:r w:rsidRPr="00445C05">
              <w:rPr>
                <w:rFonts w:ascii="Arial" w:hAnsi="Arial" w:cs="Arial"/>
              </w:rPr>
              <w:t>en: práce v týmu, týmové role, týmová spolupráce</w:t>
            </w:r>
          </w:p>
          <w:p w:rsidR="009030D2" w:rsidRDefault="009030D2" w:rsidP="009030D2">
            <w:pPr>
              <w:pStyle w:val="Odstavecseseznamem"/>
              <w:numPr>
                <w:ilvl w:val="0"/>
                <w:numId w:val="12"/>
              </w:numPr>
            </w:pPr>
            <w:r w:rsidRPr="00445C05">
              <w:rPr>
                <w:rFonts w:ascii="Arial" w:hAnsi="Arial" w:cs="Arial"/>
              </w:rPr>
              <w:t xml:space="preserve">3. </w:t>
            </w:r>
            <w:r>
              <w:rPr>
                <w:rFonts w:ascii="Arial" w:hAnsi="Arial" w:cs="Arial"/>
              </w:rPr>
              <w:t>d</w:t>
            </w:r>
            <w:r w:rsidRPr="00445C05">
              <w:rPr>
                <w:rFonts w:ascii="Arial" w:hAnsi="Arial" w:cs="Arial"/>
              </w:rPr>
              <w:t>en: budování týmů</w:t>
            </w:r>
            <w:r w:rsidRPr="009A2E09">
              <w:rPr>
                <w:rFonts w:ascii="Arial" w:hAnsi="Arial" w:cs="Arial"/>
              </w:rPr>
              <w:t xml:space="preserve"> a koučování</w:t>
            </w:r>
          </w:p>
          <w:p w:rsidR="009030D2" w:rsidRDefault="009030D2" w:rsidP="00916E0C">
            <w:r w:rsidRPr="00445C05">
              <w:rPr>
                <w:rFonts w:ascii="Arial" w:hAnsi="Arial" w:cs="Arial"/>
                <w:b/>
              </w:rPr>
              <w:t>3. blok: role manažera při implementaci strategie, komunikace strategie</w:t>
            </w:r>
            <w:r>
              <w:t xml:space="preserve"> </w:t>
            </w:r>
          </w:p>
          <w:p w:rsidR="009030D2" w:rsidRPr="005264D8" w:rsidRDefault="009030D2" w:rsidP="009030D2">
            <w:pPr>
              <w:pStyle w:val="Odstavecseseznamem"/>
              <w:numPr>
                <w:ilvl w:val="0"/>
                <w:numId w:val="13"/>
              </w:numPr>
              <w:rPr>
                <w:rFonts w:ascii="Arial" w:hAnsi="Arial" w:cs="Arial"/>
              </w:rPr>
            </w:pPr>
            <w:r w:rsidRPr="005264D8">
              <w:rPr>
                <w:rFonts w:ascii="Arial" w:hAnsi="Arial" w:cs="Arial"/>
              </w:rPr>
              <w:t xml:space="preserve">1. </w:t>
            </w:r>
            <w:r>
              <w:rPr>
                <w:rFonts w:ascii="Arial" w:hAnsi="Arial" w:cs="Arial"/>
              </w:rPr>
              <w:t>den</w:t>
            </w:r>
            <w:r w:rsidRPr="005264D8">
              <w:rPr>
                <w:rFonts w:ascii="Arial" w:hAnsi="Arial" w:cs="Arial"/>
              </w:rPr>
              <w:t>: implementace strategie – interní a externí, akční plány</w:t>
            </w:r>
            <w:r>
              <w:t xml:space="preserve"> </w:t>
            </w:r>
            <w:r w:rsidRPr="005264D8">
              <w:rPr>
                <w:rFonts w:ascii="Arial" w:hAnsi="Arial" w:cs="Arial"/>
              </w:rPr>
              <w:t>implementace</w:t>
            </w:r>
          </w:p>
          <w:p w:rsidR="009030D2" w:rsidRPr="005264D8" w:rsidRDefault="009030D2" w:rsidP="009030D2">
            <w:pPr>
              <w:pStyle w:val="Odstavecseseznamem"/>
              <w:numPr>
                <w:ilvl w:val="0"/>
                <w:numId w:val="13"/>
              </w:numPr>
              <w:rPr>
                <w:rFonts w:ascii="Arial" w:hAnsi="Arial" w:cs="Arial"/>
              </w:rPr>
            </w:pPr>
            <w:r w:rsidRPr="005264D8">
              <w:rPr>
                <w:rFonts w:ascii="Arial" w:hAnsi="Arial" w:cs="Arial"/>
              </w:rPr>
              <w:t xml:space="preserve">2. </w:t>
            </w:r>
            <w:r>
              <w:rPr>
                <w:rFonts w:ascii="Arial" w:hAnsi="Arial" w:cs="Arial"/>
              </w:rPr>
              <w:t>d</w:t>
            </w:r>
            <w:r w:rsidRPr="005264D8">
              <w:rPr>
                <w:rFonts w:ascii="Arial" w:hAnsi="Arial" w:cs="Arial"/>
              </w:rPr>
              <w:t>en: efektivní komunikace a prezentace strategie</w:t>
            </w:r>
          </w:p>
          <w:p w:rsidR="009030D2" w:rsidRPr="00445C05" w:rsidRDefault="009030D2" w:rsidP="009030D2">
            <w:pPr>
              <w:pStyle w:val="Odstavecseseznamem"/>
              <w:numPr>
                <w:ilvl w:val="0"/>
                <w:numId w:val="13"/>
              </w:numPr>
            </w:pPr>
            <w:r w:rsidRPr="005264D8">
              <w:rPr>
                <w:rFonts w:ascii="Arial" w:hAnsi="Arial" w:cs="Arial"/>
              </w:rPr>
              <w:t xml:space="preserve">3. </w:t>
            </w:r>
            <w:r>
              <w:rPr>
                <w:rFonts w:ascii="Arial" w:hAnsi="Arial" w:cs="Arial"/>
              </w:rPr>
              <w:t>d</w:t>
            </w:r>
            <w:r w:rsidRPr="005264D8">
              <w:rPr>
                <w:rFonts w:ascii="Arial" w:hAnsi="Arial" w:cs="Arial"/>
              </w:rPr>
              <w:t>en: sdílení příkladů dobré praxe, písemný test a vyhodnocení kurzu</w:t>
            </w:r>
            <w:r>
              <w:t xml:space="preserve"> </w:t>
            </w:r>
          </w:p>
        </w:tc>
      </w:tr>
    </w:tbl>
    <w:p w:rsidR="009030D2" w:rsidRDefault="009030D2"/>
    <w:p w:rsidR="009030D2" w:rsidRDefault="009030D2" w:rsidP="009030D2">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9030D2" w:rsidRDefault="009030D2"/>
    <w:sectPr w:rsidR="009030D2"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B9" w:rsidRDefault="00ED79B9">
      <w:r>
        <w:separator/>
      </w:r>
    </w:p>
  </w:endnote>
  <w:endnote w:type="continuationSeparator" w:id="0">
    <w:p w:rsidR="00ED79B9" w:rsidRDefault="00ED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E5895AC" wp14:editId="77729483">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9E2112">
      <w:rPr>
        <w:noProof/>
      </w:rPr>
      <w:t>10</w:t>
    </w:r>
    <w:r>
      <w:fldChar w:fldCharType="end"/>
    </w:r>
    <w:r>
      <w:rPr>
        <w:rFonts w:ascii="Arial" w:eastAsia="Arial" w:hAnsi="Arial" w:cs="Arial"/>
        <w:color w:val="003C69"/>
        <w:sz w:val="20"/>
        <w:szCs w:val="20"/>
      </w:rPr>
      <w:t>/</w:t>
    </w:r>
    <w:r>
      <w:fldChar w:fldCharType="begin"/>
    </w:r>
    <w:r>
      <w:instrText>NUMPAGES</w:instrText>
    </w:r>
    <w:r>
      <w:fldChar w:fldCharType="separate"/>
    </w:r>
    <w:r w:rsidR="009E2112">
      <w:rPr>
        <w:noProof/>
      </w:rPr>
      <w:t>15</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60122A">
      <w:rPr>
        <w:rFonts w:ascii="Arial" w:eastAsia="Arial" w:hAnsi="Arial" w:cs="Arial"/>
        <w:color w:val="003C69"/>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15DF4431" wp14:editId="3147D5C2">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9E2112">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9E2112">
      <w:rPr>
        <w:noProof/>
      </w:rPr>
      <w:t>15</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60122A">
      <w:rPr>
        <w:rFonts w:ascii="Arial" w:eastAsia="Arial" w:hAnsi="Arial" w:cs="Arial"/>
        <w:color w:val="003C69"/>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B9" w:rsidRDefault="00ED79B9">
      <w:r>
        <w:separator/>
      </w:r>
    </w:p>
  </w:footnote>
  <w:footnote w:type="continuationSeparator" w:id="0">
    <w:p w:rsidR="00ED79B9" w:rsidRDefault="00ED7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3954DF">
      <w:rPr>
        <w:rFonts w:ascii="Arial" w:eastAsia="Arial" w:hAnsi="Arial" w:cs="Arial"/>
        <w:b/>
        <w:color w:val="33CCCC"/>
        <w:sz w:val="28"/>
        <w:szCs w:val="28"/>
      </w:rPr>
      <w:t>Příloha č. 21</w:t>
    </w:r>
  </w:p>
  <w:p w:rsidR="008C28A3" w:rsidRDefault="008C28A3">
    <w:pPr>
      <w:tabs>
        <w:tab w:val="center" w:pos="4536"/>
        <w:tab w:val="right" w:pos="9072"/>
      </w:tabs>
      <w:ind w:left="0" w:firstLine="0"/>
      <w:jc w:val="left"/>
    </w:pPr>
    <w:r>
      <w:rPr>
        <w:noProof/>
      </w:rPr>
      <w:drawing>
        <wp:inline distT="0" distB="0" distL="0" distR="0" wp14:anchorId="416E3650" wp14:editId="3C2660BF">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001EFE"/>
    <w:multiLevelType w:val="hybridMultilevel"/>
    <w:tmpl w:val="646A9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E41E85"/>
    <w:multiLevelType w:val="hybridMultilevel"/>
    <w:tmpl w:val="F45C1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0559B8"/>
    <w:multiLevelType w:val="hybridMultilevel"/>
    <w:tmpl w:val="5434D686"/>
    <w:lvl w:ilvl="0" w:tplc="04050001">
      <w:start w:val="1"/>
      <w:numFmt w:val="bullet"/>
      <w:lvlText w:val=""/>
      <w:lvlJc w:val="left"/>
      <w:pPr>
        <w:ind w:left="3705" w:hanging="360"/>
      </w:pPr>
      <w:rPr>
        <w:rFonts w:ascii="Symbol" w:hAnsi="Symbol" w:hint="default"/>
      </w:rPr>
    </w:lvl>
    <w:lvl w:ilvl="1" w:tplc="04050003" w:tentative="1">
      <w:start w:val="1"/>
      <w:numFmt w:val="bullet"/>
      <w:lvlText w:val="o"/>
      <w:lvlJc w:val="left"/>
      <w:pPr>
        <w:ind w:left="4425" w:hanging="360"/>
      </w:pPr>
      <w:rPr>
        <w:rFonts w:ascii="Courier New" w:hAnsi="Courier New" w:cs="Courier New" w:hint="default"/>
      </w:rPr>
    </w:lvl>
    <w:lvl w:ilvl="2" w:tplc="04050005" w:tentative="1">
      <w:start w:val="1"/>
      <w:numFmt w:val="bullet"/>
      <w:lvlText w:val=""/>
      <w:lvlJc w:val="left"/>
      <w:pPr>
        <w:ind w:left="5145" w:hanging="360"/>
      </w:pPr>
      <w:rPr>
        <w:rFonts w:ascii="Wingdings" w:hAnsi="Wingdings" w:hint="default"/>
      </w:rPr>
    </w:lvl>
    <w:lvl w:ilvl="3" w:tplc="04050001" w:tentative="1">
      <w:start w:val="1"/>
      <w:numFmt w:val="bullet"/>
      <w:lvlText w:val=""/>
      <w:lvlJc w:val="left"/>
      <w:pPr>
        <w:ind w:left="5865" w:hanging="360"/>
      </w:pPr>
      <w:rPr>
        <w:rFonts w:ascii="Symbol" w:hAnsi="Symbol" w:hint="default"/>
      </w:rPr>
    </w:lvl>
    <w:lvl w:ilvl="4" w:tplc="04050003" w:tentative="1">
      <w:start w:val="1"/>
      <w:numFmt w:val="bullet"/>
      <w:lvlText w:val="o"/>
      <w:lvlJc w:val="left"/>
      <w:pPr>
        <w:ind w:left="6585" w:hanging="360"/>
      </w:pPr>
      <w:rPr>
        <w:rFonts w:ascii="Courier New" w:hAnsi="Courier New" w:cs="Courier New" w:hint="default"/>
      </w:rPr>
    </w:lvl>
    <w:lvl w:ilvl="5" w:tplc="04050005" w:tentative="1">
      <w:start w:val="1"/>
      <w:numFmt w:val="bullet"/>
      <w:lvlText w:val=""/>
      <w:lvlJc w:val="left"/>
      <w:pPr>
        <w:ind w:left="7305" w:hanging="360"/>
      </w:pPr>
      <w:rPr>
        <w:rFonts w:ascii="Wingdings" w:hAnsi="Wingdings" w:hint="default"/>
      </w:rPr>
    </w:lvl>
    <w:lvl w:ilvl="6" w:tplc="04050001" w:tentative="1">
      <w:start w:val="1"/>
      <w:numFmt w:val="bullet"/>
      <w:lvlText w:val=""/>
      <w:lvlJc w:val="left"/>
      <w:pPr>
        <w:ind w:left="8025" w:hanging="360"/>
      </w:pPr>
      <w:rPr>
        <w:rFonts w:ascii="Symbol" w:hAnsi="Symbol" w:hint="default"/>
      </w:rPr>
    </w:lvl>
    <w:lvl w:ilvl="7" w:tplc="04050003" w:tentative="1">
      <w:start w:val="1"/>
      <w:numFmt w:val="bullet"/>
      <w:lvlText w:val="o"/>
      <w:lvlJc w:val="left"/>
      <w:pPr>
        <w:ind w:left="8745" w:hanging="360"/>
      </w:pPr>
      <w:rPr>
        <w:rFonts w:ascii="Courier New" w:hAnsi="Courier New" w:cs="Courier New" w:hint="default"/>
      </w:rPr>
    </w:lvl>
    <w:lvl w:ilvl="8" w:tplc="04050005" w:tentative="1">
      <w:start w:val="1"/>
      <w:numFmt w:val="bullet"/>
      <w:lvlText w:val=""/>
      <w:lvlJc w:val="left"/>
      <w:pPr>
        <w:ind w:left="9465"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30566"/>
    <w:rsid w:val="00132408"/>
    <w:rsid w:val="00157C68"/>
    <w:rsid w:val="00162190"/>
    <w:rsid w:val="00167C46"/>
    <w:rsid w:val="001703B5"/>
    <w:rsid w:val="001854DD"/>
    <w:rsid w:val="001D60B0"/>
    <w:rsid w:val="001D6C67"/>
    <w:rsid w:val="002029C3"/>
    <w:rsid w:val="002056AC"/>
    <w:rsid w:val="00255C79"/>
    <w:rsid w:val="00262FC4"/>
    <w:rsid w:val="00273D99"/>
    <w:rsid w:val="0028334E"/>
    <w:rsid w:val="00297881"/>
    <w:rsid w:val="002A5D92"/>
    <w:rsid w:val="002C31CA"/>
    <w:rsid w:val="002D059D"/>
    <w:rsid w:val="002E1850"/>
    <w:rsid w:val="00300B15"/>
    <w:rsid w:val="00305C87"/>
    <w:rsid w:val="00343683"/>
    <w:rsid w:val="00371A4E"/>
    <w:rsid w:val="003824F7"/>
    <w:rsid w:val="00383146"/>
    <w:rsid w:val="00384F5D"/>
    <w:rsid w:val="003954DF"/>
    <w:rsid w:val="003D6CE6"/>
    <w:rsid w:val="004609DE"/>
    <w:rsid w:val="00470FAE"/>
    <w:rsid w:val="004C4696"/>
    <w:rsid w:val="004D0630"/>
    <w:rsid w:val="004D0769"/>
    <w:rsid w:val="004E42E9"/>
    <w:rsid w:val="004F157D"/>
    <w:rsid w:val="00514622"/>
    <w:rsid w:val="00525D26"/>
    <w:rsid w:val="0052768E"/>
    <w:rsid w:val="00554986"/>
    <w:rsid w:val="00584301"/>
    <w:rsid w:val="005B2203"/>
    <w:rsid w:val="005B4810"/>
    <w:rsid w:val="0060122A"/>
    <w:rsid w:val="00631938"/>
    <w:rsid w:val="006460B7"/>
    <w:rsid w:val="006541D8"/>
    <w:rsid w:val="0066740D"/>
    <w:rsid w:val="0068304B"/>
    <w:rsid w:val="006D2D41"/>
    <w:rsid w:val="00714616"/>
    <w:rsid w:val="007166BE"/>
    <w:rsid w:val="007278E5"/>
    <w:rsid w:val="00742FAC"/>
    <w:rsid w:val="007458ED"/>
    <w:rsid w:val="00764218"/>
    <w:rsid w:val="007703D6"/>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030D2"/>
    <w:rsid w:val="00913C51"/>
    <w:rsid w:val="00914970"/>
    <w:rsid w:val="0094337B"/>
    <w:rsid w:val="009708B0"/>
    <w:rsid w:val="009A58B5"/>
    <w:rsid w:val="009E13D7"/>
    <w:rsid w:val="009E2112"/>
    <w:rsid w:val="009E2B3C"/>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83065"/>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E0562E"/>
    <w:rsid w:val="00E127FB"/>
    <w:rsid w:val="00E30B22"/>
    <w:rsid w:val="00E33EE3"/>
    <w:rsid w:val="00E805A3"/>
    <w:rsid w:val="00EA0638"/>
    <w:rsid w:val="00ED79B9"/>
    <w:rsid w:val="00EE52A1"/>
    <w:rsid w:val="00EE5560"/>
    <w:rsid w:val="00F07B5F"/>
    <w:rsid w:val="00F424CF"/>
    <w:rsid w:val="00F65662"/>
    <w:rsid w:val="00F67151"/>
    <w:rsid w:val="00F84807"/>
    <w:rsid w:val="00FA3376"/>
    <w:rsid w:val="00FA485B"/>
    <w:rsid w:val="00FB7C6D"/>
    <w:rsid w:val="00FD6CE5"/>
    <w:rsid w:val="00FE3F78"/>
    <w:rsid w:val="00FE4E45"/>
    <w:rsid w:val="00FE61FF"/>
    <w:rsid w:val="00FE679B"/>
    <w:rsid w:val="00FF1625"/>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9030D2"/>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030D2"/>
    <w:pPr>
      <w:widowControl/>
      <w:ind w:left="0" w:firstLine="0"/>
      <w:jc w:val="left"/>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9030D2"/>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9030D2"/>
    <w:pPr>
      <w:widowControl/>
      <w:ind w:left="0" w:firstLine="0"/>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932251185">
      <w:bodyDiv w:val="1"/>
      <w:marLeft w:val="0"/>
      <w:marRight w:val="0"/>
      <w:marTop w:val="0"/>
      <w:marBottom w:val="0"/>
      <w:divBdr>
        <w:top w:val="none" w:sz="0" w:space="0" w:color="auto"/>
        <w:left w:val="none" w:sz="0" w:space="0" w:color="auto"/>
        <w:bottom w:val="none" w:sz="0" w:space="0" w:color="auto"/>
        <w:right w:val="none" w:sz="0" w:space="0" w:color="auto"/>
      </w:divBdr>
    </w:div>
    <w:div w:id="1041705454">
      <w:bodyDiv w:val="1"/>
      <w:marLeft w:val="0"/>
      <w:marRight w:val="0"/>
      <w:marTop w:val="0"/>
      <w:marBottom w:val="0"/>
      <w:divBdr>
        <w:top w:val="none" w:sz="0" w:space="0" w:color="auto"/>
        <w:left w:val="none" w:sz="0" w:space="0" w:color="auto"/>
        <w:bottom w:val="none" w:sz="0" w:space="0" w:color="auto"/>
        <w:right w:val="none" w:sz="0" w:space="0" w:color="auto"/>
      </w:divBdr>
    </w:div>
    <w:div w:id="1638602330">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4468</Words>
  <Characters>26365</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Platzek Jiří</dc:creator>
  <cp:lastModifiedBy>Platzek Jiří</cp:lastModifiedBy>
  <cp:revision>5</cp:revision>
  <cp:lastPrinted>2017-03-29T08:49:00Z</cp:lastPrinted>
  <dcterms:created xsi:type="dcterms:W3CDTF">2017-07-21T11:46:00Z</dcterms:created>
  <dcterms:modified xsi:type="dcterms:W3CDTF">2017-07-21T12:31:00Z</dcterms:modified>
</cp:coreProperties>
</file>