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551370" w:rsidRPr="008451E9">
        <w:rPr>
          <w:rFonts w:ascii="Arial" w:hAnsi="Arial" w:cs="Arial"/>
          <w:b/>
          <w:sz w:val="32"/>
          <w:szCs w:val="32"/>
          <w:lang w:eastAsia="cs-CZ"/>
        </w:rPr>
        <w:t>Rekonstrukce chodníků a trolej. zast</w:t>
      </w:r>
      <w:r w:rsidR="00551370">
        <w:rPr>
          <w:rFonts w:ascii="Arial" w:hAnsi="Arial" w:cs="Arial"/>
          <w:b/>
          <w:sz w:val="32"/>
          <w:szCs w:val="32"/>
          <w:lang w:eastAsia="cs-CZ"/>
        </w:rPr>
        <w:t>ávek ul. Hornopolní – IV. etapa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59"/>
        <w:gridCol w:w="2995"/>
        <w:gridCol w:w="2055"/>
        <w:gridCol w:w="2093"/>
        <w:gridCol w:w="2730"/>
      </w:tblGrid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59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99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05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</w:p>
        </w:tc>
        <w:tc>
          <w:tcPr>
            <w:tcW w:w="209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273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459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2E5714">
        <w:rPr>
          <w:rFonts w:ascii="Times New Roman" w:eastAsia="Times New Roman" w:hAnsi="Times New Roman"/>
          <w:highlight w:val="yellow"/>
          <w:lang w:eastAsia="cs-CZ"/>
        </w:rPr>
        <w:t>1</w:t>
      </w:r>
      <w:r w:rsidR="002E5714" w:rsidRPr="002E5714">
        <w:rPr>
          <w:rFonts w:ascii="Times New Roman" w:eastAsia="Times New Roman" w:hAnsi="Times New Roman"/>
          <w:highlight w:val="yellow"/>
          <w:lang w:eastAsia="cs-CZ"/>
        </w:rPr>
        <w:t>7</w:t>
      </w: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70" w:rsidRDefault="00AC3170" w:rsidP="00731FA2">
      <w:pPr>
        <w:spacing w:after="0" w:line="240" w:lineRule="auto"/>
      </w:pPr>
      <w:r>
        <w:separator/>
      </w:r>
    </w:p>
  </w:endnote>
  <w:endnote w:type="continuationSeparator" w:id="0">
    <w:p w:rsidR="00AC3170" w:rsidRDefault="00AC317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AC3170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E5714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E571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70" w:rsidRDefault="00AC3170" w:rsidP="00731FA2">
      <w:pPr>
        <w:spacing w:after="0" w:line="240" w:lineRule="auto"/>
      </w:pPr>
      <w:r>
        <w:separator/>
      </w:r>
    </w:p>
  </w:footnote>
  <w:footnote w:type="continuationSeparator" w:id="0">
    <w:p w:rsidR="00AC3170" w:rsidRDefault="00AC317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AC317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030.7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B0B6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5B92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E5714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5E8A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0B6B"/>
    <w:rsid w:val="007B1101"/>
    <w:rsid w:val="007C3F9A"/>
    <w:rsid w:val="007C4D76"/>
    <w:rsid w:val="007D4456"/>
    <w:rsid w:val="007E2540"/>
    <w:rsid w:val="007E53D9"/>
    <w:rsid w:val="007F0F9A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3170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Špatná Jarmila</cp:lastModifiedBy>
  <cp:revision>8</cp:revision>
  <cp:lastPrinted>2017-01-05T13:06:00Z</cp:lastPrinted>
  <dcterms:created xsi:type="dcterms:W3CDTF">2017-01-04T13:38:00Z</dcterms:created>
  <dcterms:modified xsi:type="dcterms:W3CDTF">2017-01-10T08:34:00Z</dcterms:modified>
</cp:coreProperties>
</file>