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A069C" w:rsidRPr="005915C9" w:rsidRDefault="00AA069C" w:rsidP="00DB7CD3">
      <w:pPr>
        <w:pStyle w:val="Import1"/>
        <w:spacing w:line="228" w:lineRule="auto"/>
        <w:jc w:val="center"/>
        <w:outlineLvl w:val="0"/>
        <w:rPr>
          <w:rFonts w:ascii="Calibri" w:hAnsi="Calibri" w:cs="Arial"/>
          <w:b/>
          <w:bCs/>
          <w:i w:val="0"/>
          <w:iCs w:val="0"/>
          <w:sz w:val="22"/>
          <w:szCs w:val="22"/>
          <w:u w:val="none"/>
        </w:rPr>
      </w:pPr>
      <w:r w:rsidRPr="005915C9">
        <w:rPr>
          <w:rFonts w:ascii="Calibri" w:hAnsi="Calibri" w:cs="Arial"/>
          <w:b/>
          <w:bCs/>
          <w:i w:val="0"/>
          <w:iCs w:val="0"/>
          <w:sz w:val="22"/>
          <w:szCs w:val="22"/>
          <w:u w:val="none"/>
        </w:rPr>
        <w:t>„</w:t>
      </w:r>
      <w:r w:rsidR="005915C9" w:rsidRPr="005915C9">
        <w:rPr>
          <w:rFonts w:asciiTheme="minorHAnsi" w:hAnsiTheme="minorHAnsi" w:cs="Calibri"/>
          <w:b/>
          <w:i w:val="0"/>
          <w:sz w:val="22"/>
          <w:szCs w:val="22"/>
          <w:u w:val="none"/>
        </w:rPr>
        <w:t>Parkování Fifejdy-3. lokalita</w:t>
      </w:r>
      <w:r w:rsidRPr="005915C9">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č.__________/2014</w:t>
      </w:r>
      <w:r w:rsidR="00AA069C" w:rsidRPr="00DB7CD3">
        <w:rPr>
          <w:rFonts w:ascii="Calibri" w:hAnsi="Calibri" w:cs="Arial"/>
          <w:b/>
          <w:bCs/>
          <w:i w:val="0"/>
          <w:iCs w:val="0"/>
          <w:color w:val="3366FF"/>
          <w:sz w:val="28"/>
          <w:szCs w:val="28"/>
          <w:u w:val="none"/>
        </w:rPr>
        <w:t>/OIMH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k (dále také „OZ“)</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5915C9" w:rsidRPr="00A65134">
        <w:rPr>
          <w:rFonts w:asciiTheme="minorHAnsi" w:hAnsiTheme="minorHAnsi"/>
          <w:sz w:val="22"/>
          <w:szCs w:val="22"/>
        </w:rPr>
        <w:t>Ing. Dalibor</w:t>
      </w:r>
      <w:r w:rsidR="005915C9">
        <w:rPr>
          <w:rFonts w:asciiTheme="minorHAnsi" w:hAnsiTheme="minorHAnsi"/>
          <w:sz w:val="22"/>
          <w:szCs w:val="22"/>
        </w:rPr>
        <w:t>em</w:t>
      </w:r>
      <w:r w:rsidR="005915C9" w:rsidRPr="00A65134">
        <w:rPr>
          <w:rFonts w:asciiTheme="minorHAnsi" w:hAnsiTheme="minorHAnsi"/>
          <w:sz w:val="22"/>
          <w:szCs w:val="22"/>
        </w:rPr>
        <w:t xml:space="preserve"> </w:t>
      </w:r>
      <w:proofErr w:type="spellStart"/>
      <w:r w:rsidR="005915C9" w:rsidRPr="00A65134">
        <w:rPr>
          <w:rFonts w:asciiTheme="minorHAnsi" w:hAnsiTheme="minorHAnsi"/>
          <w:sz w:val="22"/>
          <w:szCs w:val="22"/>
        </w:rPr>
        <w:t>Kloss</w:t>
      </w:r>
      <w:r w:rsidR="005915C9">
        <w:rPr>
          <w:rFonts w:asciiTheme="minorHAnsi" w:hAnsiTheme="minorHAnsi"/>
          <w:sz w:val="22"/>
          <w:szCs w:val="22"/>
        </w:rPr>
        <w:t>em</w:t>
      </w:r>
      <w:proofErr w:type="spellEnd"/>
      <w:r w:rsidR="005915C9" w:rsidRPr="00A65134">
        <w:rPr>
          <w:rFonts w:asciiTheme="minorHAnsi" w:hAnsiTheme="minorHAnsi"/>
          <w:sz w:val="22"/>
          <w:szCs w:val="22"/>
        </w:rPr>
        <w:t>, referent</w:t>
      </w:r>
      <w:r w:rsidR="005915C9">
        <w:rPr>
          <w:rFonts w:asciiTheme="minorHAnsi" w:hAnsiTheme="minorHAnsi"/>
          <w:sz w:val="22"/>
          <w:szCs w:val="22"/>
        </w:rPr>
        <w:t>em</w:t>
      </w:r>
      <w:r w:rsidR="005915C9" w:rsidRPr="00A65134">
        <w:rPr>
          <w:rFonts w:asciiTheme="minorHAnsi" w:hAnsiTheme="minorHAnsi"/>
          <w:sz w:val="22"/>
          <w:szCs w:val="22"/>
        </w:rPr>
        <w:t xml:space="preserve"> </w:t>
      </w:r>
      <w:r w:rsidR="006E114A">
        <w:rPr>
          <w:rFonts w:asciiTheme="minorHAnsi" w:hAnsiTheme="minorHAnsi"/>
          <w:sz w:val="22"/>
          <w:szCs w:val="22"/>
        </w:rPr>
        <w:t>oddělení investic, odboru investic a</w:t>
      </w:r>
      <w:r w:rsidR="005915C9" w:rsidRPr="00A65134">
        <w:rPr>
          <w:rFonts w:asciiTheme="minorHAnsi" w:hAnsiTheme="minorHAnsi"/>
          <w:sz w:val="22"/>
          <w:szCs w:val="22"/>
        </w:rPr>
        <w:t xml:space="preserve"> místního hospodářst</w:t>
      </w:r>
      <w:r w:rsidR="006E114A">
        <w:rPr>
          <w:rFonts w:asciiTheme="minorHAnsi" w:hAnsiTheme="minorHAnsi"/>
          <w:sz w:val="22"/>
          <w:szCs w:val="22"/>
        </w:rPr>
        <w: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bookmarkStart w:id="0" w:name="_GoBack"/>
      <w:bookmarkEnd w:id="0"/>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5915C9" w:rsidRPr="00A65134">
        <w:rPr>
          <w:rFonts w:asciiTheme="minorHAnsi" w:hAnsiTheme="minorHAnsi" w:cs="Calibri"/>
          <w:b/>
          <w:szCs w:val="22"/>
        </w:rPr>
        <w:t>Parkování Fifejdy-3. lokalita</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sidR="0050650A">
        <w:rPr>
          <w:rFonts w:ascii="Calibri" w:hAnsi="Calibri"/>
          <w:szCs w:val="22"/>
        </w:rPr>
        <w:t xml:space="preserve">y nabídkou zadavatele podanou v zadávacím </w:t>
      </w:r>
      <w:r w:rsidRPr="00DB7CD3">
        <w:rPr>
          <w:rFonts w:ascii="Calibri" w:hAnsi="Calibri"/>
          <w:szCs w:val="22"/>
        </w:rPr>
        <w:t>řízení speci</w:t>
      </w:r>
      <w:r w:rsidR="008A2932">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Pr="002F6C49">
        <w:rPr>
          <w:rFonts w:ascii="Calibri" w:hAnsi="Calibri" w:cs="Arial"/>
        </w:rPr>
        <w:t xml:space="preserve">projektové </w:t>
      </w:r>
      <w:r w:rsidR="008A2932" w:rsidRPr="00BE5D77">
        <w:rPr>
          <w:rFonts w:asciiTheme="minorHAnsi" w:hAnsiTheme="minorHAnsi"/>
          <w:color w:val="000000" w:themeColor="text1"/>
        </w:rPr>
        <w:t xml:space="preserve">dokumentace s názvem </w:t>
      </w:r>
      <w:r w:rsidR="005915C9">
        <w:rPr>
          <w:rFonts w:ascii="Calibri" w:hAnsi="Calibri"/>
        </w:rPr>
        <w:t>Dokumentace pro provedení stavby (DPS), zak. číslo E-7570/13 z 02/2014 „Parkovací stání Ostrava – Fifejdy lokalita 3 ul. Oskara Motyky“</w:t>
      </w:r>
      <w:r w:rsidR="005915C9" w:rsidRPr="00236792">
        <w:rPr>
          <w:rFonts w:ascii="Calibri" w:hAnsi="Calibri"/>
        </w:rPr>
        <w:t>, z</w:t>
      </w:r>
      <w:r w:rsidR="005915C9">
        <w:rPr>
          <w:rFonts w:ascii="Calibri" w:hAnsi="Calibri"/>
        </w:rPr>
        <w:t>hotovitel:  VS – projekt s.r.o. Na Obvodu 45/1100, 703 00 Ostrava – Vítkovice,</w:t>
      </w:r>
      <w:r w:rsidR="005915C9" w:rsidRPr="00236792">
        <w:rPr>
          <w:rFonts w:ascii="Calibri" w:hAnsi="Calibri"/>
          <w:bCs/>
          <w:iCs/>
        </w:rPr>
        <w:t xml:space="preserve">  </w:t>
      </w:r>
      <w:r w:rsidR="005915C9">
        <w:rPr>
          <w:rFonts w:ascii="Calibri" w:hAnsi="Calibri"/>
        </w:rPr>
        <w:t>IČ 25385054</w:t>
      </w:r>
      <w:r w:rsidR="005915C9" w:rsidRPr="00BE5D77">
        <w:rPr>
          <w:rFonts w:asciiTheme="minorHAnsi" w:hAnsiTheme="minorHAnsi"/>
        </w:rPr>
        <w:t>,</w:t>
      </w:r>
      <w:r w:rsidR="005915C9" w:rsidRPr="0085635B">
        <w:rPr>
          <w:rFonts w:asciiTheme="minorHAnsi" w:hAnsiTheme="minorHAnsi"/>
        </w:rPr>
        <w:t xml:space="preserve">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8A2932"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5915C9" w:rsidRPr="00A65134" w:rsidRDefault="005915C9" w:rsidP="005915C9">
      <w:pPr>
        <w:autoSpaceDE w:val="0"/>
        <w:autoSpaceDN w:val="0"/>
        <w:adjustRightInd w:val="0"/>
        <w:ind w:left="567" w:firstLine="0"/>
        <w:rPr>
          <w:rFonts w:asciiTheme="minorHAnsi" w:hAnsiTheme="minorHAnsi" w:cs="Arial"/>
          <w:szCs w:val="22"/>
        </w:rPr>
      </w:pPr>
      <w:r w:rsidRPr="00A65134">
        <w:rPr>
          <w:rFonts w:asciiTheme="minorHAnsi" w:hAnsiTheme="minorHAnsi" w:cs="Arial"/>
          <w:szCs w:val="22"/>
        </w:rPr>
        <w:t>Projektová dokumentace řeší vybudování dvou nových parkovacích ploch</w:t>
      </w:r>
      <w:r>
        <w:rPr>
          <w:rFonts w:asciiTheme="minorHAnsi" w:hAnsiTheme="minorHAnsi" w:cs="Arial"/>
          <w:szCs w:val="22"/>
        </w:rPr>
        <w:t xml:space="preserve"> s celkovým počtem 16</w:t>
      </w:r>
      <w:r w:rsidRPr="00A65134">
        <w:rPr>
          <w:rFonts w:asciiTheme="minorHAnsi" w:hAnsiTheme="minorHAnsi" w:cs="Arial"/>
          <w:szCs w:val="22"/>
        </w:rPr>
        <w:t xml:space="preserve"> parkovacích stání, přeložení kabelů VO a provedení přeložky komunikace pro pěší, která bude nově zřízena v šířce 1,5 m. Projektované plochy jsou navržené na ulici Oskara Motyky v městském obvodě Moravská Ostrava a Přívoz.  </w:t>
      </w:r>
    </w:p>
    <w:p w:rsidR="005915C9" w:rsidRPr="00A65134" w:rsidRDefault="005915C9" w:rsidP="005915C9">
      <w:pPr>
        <w:autoSpaceDE w:val="0"/>
        <w:autoSpaceDN w:val="0"/>
        <w:adjustRightInd w:val="0"/>
        <w:ind w:left="567" w:firstLine="0"/>
        <w:rPr>
          <w:rFonts w:asciiTheme="minorHAnsi" w:hAnsiTheme="minorHAnsi"/>
          <w:szCs w:val="22"/>
          <w:highlight w:val="yellow"/>
        </w:rPr>
      </w:pPr>
    </w:p>
    <w:p w:rsidR="005915C9" w:rsidRPr="00A65134" w:rsidRDefault="005915C9" w:rsidP="005915C9">
      <w:pPr>
        <w:autoSpaceDE w:val="0"/>
        <w:autoSpaceDN w:val="0"/>
        <w:adjustRightInd w:val="0"/>
        <w:ind w:left="567" w:firstLine="0"/>
        <w:rPr>
          <w:rFonts w:asciiTheme="minorHAnsi" w:hAnsiTheme="minorHAnsi" w:cs="Arial"/>
          <w:szCs w:val="22"/>
        </w:rPr>
      </w:pPr>
      <w:r w:rsidRPr="00A65134">
        <w:rPr>
          <w:rFonts w:asciiTheme="minorHAnsi" w:hAnsiTheme="minorHAnsi" w:cs="Arial"/>
          <w:szCs w:val="22"/>
        </w:rPr>
        <w:t xml:space="preserve">Provede se nová skladba parkovacích stání, odfrézované části vozovky, upravované části chodníku a přeložky chodníku včetně konstrukčních vrstev a souvisejících prací. </w:t>
      </w:r>
      <w:r w:rsidRPr="00A65134">
        <w:rPr>
          <w:rFonts w:asciiTheme="minorHAnsi" w:hAnsiTheme="minorHAnsi"/>
          <w:szCs w:val="22"/>
        </w:rPr>
        <w:t>Plochy parkovacích stání budou provedeny z asfaltobetonu, označení parkovacích stání bude nátěrem z bílé barvy</w:t>
      </w:r>
      <w:r w:rsidRPr="00A65134">
        <w:rPr>
          <w:rFonts w:asciiTheme="minorHAnsi" w:hAnsiTheme="minorHAnsi" w:cs="Arial"/>
          <w:szCs w:val="22"/>
        </w:rPr>
        <w:t>. Úprava chodníkové plochy bude provedena z jemnozrnného asfaltobetonu.</w:t>
      </w:r>
    </w:p>
    <w:p w:rsidR="005915C9" w:rsidRPr="00A65134" w:rsidRDefault="005915C9" w:rsidP="005915C9">
      <w:pPr>
        <w:autoSpaceDE w:val="0"/>
        <w:autoSpaceDN w:val="0"/>
        <w:adjustRightInd w:val="0"/>
        <w:rPr>
          <w:rFonts w:asciiTheme="minorHAnsi" w:hAnsiTheme="minorHAnsi" w:cs="Arial"/>
          <w:szCs w:val="22"/>
        </w:rPr>
      </w:pPr>
    </w:p>
    <w:p w:rsidR="005915C9" w:rsidRPr="00A65134" w:rsidRDefault="005915C9" w:rsidP="005915C9">
      <w:pPr>
        <w:autoSpaceDE w:val="0"/>
        <w:autoSpaceDN w:val="0"/>
        <w:adjustRightInd w:val="0"/>
        <w:ind w:hanging="153"/>
        <w:rPr>
          <w:rFonts w:asciiTheme="minorHAnsi" w:hAnsiTheme="minorHAnsi"/>
          <w:szCs w:val="22"/>
        </w:rPr>
      </w:pPr>
      <w:r>
        <w:rPr>
          <w:rFonts w:asciiTheme="minorHAnsi" w:hAnsiTheme="minorHAnsi"/>
          <w:szCs w:val="22"/>
        </w:rPr>
        <w:t xml:space="preserve">Stavba obsahuje </w:t>
      </w:r>
      <w:r w:rsidRPr="00A65134">
        <w:rPr>
          <w:rFonts w:asciiTheme="minorHAnsi" w:hAnsiTheme="minorHAnsi"/>
          <w:szCs w:val="22"/>
        </w:rPr>
        <w:t xml:space="preserve">pouze </w:t>
      </w:r>
      <w:r>
        <w:rPr>
          <w:rFonts w:asciiTheme="minorHAnsi" w:hAnsiTheme="minorHAnsi"/>
          <w:szCs w:val="22"/>
        </w:rPr>
        <w:t>jeden objekt s označením „</w:t>
      </w:r>
      <w:r w:rsidRPr="00A65134">
        <w:rPr>
          <w:rFonts w:asciiTheme="minorHAnsi" w:hAnsiTheme="minorHAnsi"/>
          <w:szCs w:val="22"/>
        </w:rPr>
        <w:t>C1 – Komunikace</w:t>
      </w:r>
      <w:r>
        <w:rPr>
          <w:rFonts w:asciiTheme="minorHAnsi" w:hAnsiTheme="minorHAnsi"/>
          <w:szCs w:val="22"/>
        </w:rPr>
        <w:t>“.</w:t>
      </w:r>
    </w:p>
    <w:p w:rsidR="005915C9" w:rsidRPr="00A65134" w:rsidRDefault="005915C9" w:rsidP="005915C9">
      <w:pPr>
        <w:autoSpaceDE w:val="0"/>
        <w:autoSpaceDN w:val="0"/>
        <w:adjustRightInd w:val="0"/>
        <w:rPr>
          <w:rFonts w:asciiTheme="minorHAnsi" w:hAnsiTheme="minorHAnsi" w:cs="Arial"/>
          <w:szCs w:val="22"/>
        </w:rPr>
      </w:pPr>
    </w:p>
    <w:p w:rsidR="008A2932" w:rsidRPr="00DB7CD3" w:rsidRDefault="005915C9" w:rsidP="005915C9">
      <w:pPr>
        <w:pStyle w:val="Normln1"/>
        <w:tabs>
          <w:tab w:val="left" w:pos="1526"/>
        </w:tabs>
        <w:ind w:left="567"/>
        <w:jc w:val="both"/>
        <w:rPr>
          <w:rFonts w:ascii="Calibri" w:hAnsi="Calibri"/>
        </w:rPr>
      </w:pPr>
      <w:r w:rsidRPr="00A65134">
        <w:rPr>
          <w:rFonts w:asciiTheme="minorHAnsi" w:hAnsiTheme="minorHAnsi" w:cs="Arial"/>
        </w:rPr>
        <w:t>Při provedení zakázky je nutno respektovat zejména „Rozhodnutí stavební povolení</w:t>
      </w:r>
      <w:r>
        <w:rPr>
          <w:rFonts w:asciiTheme="minorHAnsi" w:hAnsiTheme="minorHAnsi" w:cs="Arial"/>
        </w:rPr>
        <w:t xml:space="preserve">“ </w:t>
      </w:r>
      <w:r w:rsidR="00312ADD">
        <w:rPr>
          <w:rFonts w:asciiTheme="minorHAnsi" w:hAnsiTheme="minorHAnsi" w:cs="Arial"/>
        </w:rPr>
        <w:t xml:space="preserve">č.j. </w:t>
      </w:r>
      <w:r w:rsidRPr="00A65134">
        <w:rPr>
          <w:rFonts w:asciiTheme="minorHAnsi" w:hAnsiTheme="minorHAnsi" w:cs="Arial"/>
        </w:rPr>
        <w:t>MOaP</w:t>
      </w:r>
      <w:r w:rsidR="00312ADD">
        <w:rPr>
          <w:rFonts w:asciiTheme="minorHAnsi" w:hAnsiTheme="minorHAnsi" w:cs="Arial"/>
        </w:rPr>
        <w:t>/19170/14/OSŘP1/Lin ze dne 20. 3. 2014</w:t>
      </w:r>
      <w:r>
        <w:rPr>
          <w:rFonts w:asciiTheme="minorHAnsi" w:hAnsiTheme="minorHAnsi" w:cs="Arial"/>
        </w:rPr>
        <w:t>,</w:t>
      </w:r>
      <w:r w:rsidRPr="00A65134">
        <w:rPr>
          <w:rFonts w:asciiTheme="minorHAnsi" w:hAnsiTheme="minorHAnsi" w:cs="Arial"/>
        </w:rPr>
        <w:t xml:space="preserve"> vyjádření orgánů státní moci a správců inženýrských sítí.</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005915C9" w:rsidRPr="00AA0604">
        <w:rPr>
          <w:rFonts w:asciiTheme="minorHAnsi" w:hAnsiTheme="minorHAnsi" w:cs="Calibri"/>
          <w:sz w:val="22"/>
          <w:szCs w:val="22"/>
        </w:rPr>
        <w:t>Statutární město Ostrava, městský obvod Moravská Ostrava a</w:t>
      </w:r>
      <w:r w:rsidR="005915C9" w:rsidRPr="00AA0604">
        <w:rPr>
          <w:rFonts w:asciiTheme="minorHAnsi" w:hAnsiTheme="minorHAnsi"/>
          <w:sz w:val="22"/>
          <w:szCs w:val="22"/>
        </w:rPr>
        <w:t xml:space="preserve"> Přívoz</w:t>
      </w:r>
      <w:r w:rsidR="005915C9" w:rsidRPr="00AA0604">
        <w:rPr>
          <w:rFonts w:asciiTheme="minorHAnsi" w:hAnsiTheme="minorHAnsi" w:cs="Calibri"/>
          <w:sz w:val="22"/>
          <w:szCs w:val="22"/>
        </w:rPr>
        <w:t xml:space="preserve">, ul. Oskara Motyky – pozemky  </w:t>
      </w:r>
      <w:proofErr w:type="spellStart"/>
      <w:r w:rsidR="005915C9" w:rsidRPr="00AA0604">
        <w:rPr>
          <w:rFonts w:asciiTheme="minorHAnsi" w:hAnsiTheme="minorHAnsi" w:cs="Calibri"/>
          <w:sz w:val="22"/>
          <w:szCs w:val="22"/>
        </w:rPr>
        <w:t>parc</w:t>
      </w:r>
      <w:proofErr w:type="spellEnd"/>
      <w:r w:rsidR="005915C9" w:rsidRPr="00AA0604">
        <w:rPr>
          <w:rFonts w:asciiTheme="minorHAnsi" w:hAnsiTheme="minorHAnsi" w:cs="Calibri"/>
          <w:sz w:val="22"/>
          <w:szCs w:val="22"/>
        </w:rPr>
        <w:t xml:space="preserve">. </w:t>
      </w:r>
      <w:proofErr w:type="gramStart"/>
      <w:r w:rsidR="005915C9" w:rsidRPr="00AA0604">
        <w:rPr>
          <w:rFonts w:asciiTheme="minorHAnsi" w:hAnsiTheme="minorHAnsi" w:cs="Calibri"/>
          <w:sz w:val="22"/>
          <w:szCs w:val="22"/>
        </w:rPr>
        <w:t>č.</w:t>
      </w:r>
      <w:proofErr w:type="gramEnd"/>
      <w:r w:rsidR="005915C9" w:rsidRPr="00AA0604">
        <w:rPr>
          <w:rFonts w:asciiTheme="minorHAnsi" w:hAnsiTheme="minorHAnsi" w:cs="Calibri"/>
          <w:sz w:val="22"/>
          <w:szCs w:val="22"/>
        </w:rPr>
        <w:t xml:space="preserve"> 2206/15, 2206/17, k. </w:t>
      </w:r>
      <w:proofErr w:type="spellStart"/>
      <w:r w:rsidR="005915C9" w:rsidRPr="00AA0604">
        <w:rPr>
          <w:rFonts w:asciiTheme="minorHAnsi" w:hAnsiTheme="minorHAnsi" w:cs="Calibri"/>
          <w:sz w:val="22"/>
          <w:szCs w:val="22"/>
        </w:rPr>
        <w:t>ú.</w:t>
      </w:r>
      <w:proofErr w:type="spellEnd"/>
      <w:r w:rsidR="005915C9" w:rsidRPr="00AA0604">
        <w:rPr>
          <w:rFonts w:asciiTheme="minorHAnsi" w:hAnsiTheme="minorHAnsi" w:cs="Calibri"/>
          <w:sz w:val="22"/>
          <w:szCs w:val="22"/>
        </w:rPr>
        <w:t xml:space="preserve"> Moravská Ostrava</w:t>
      </w:r>
      <w:r w:rsidR="005915C9">
        <w:rPr>
          <w:rFonts w:asciiTheme="minorHAnsi" w:hAnsiTheme="minorHAnsi" w:cs="Calibri"/>
          <w:sz w:val="22"/>
          <w:szCs w:val="22"/>
        </w:rPr>
        <w: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8A29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8A2932"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00AA069C"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AA069C"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Cena bez DPH </w:t>
      </w:r>
      <w:r w:rsidR="008A2932">
        <w:rPr>
          <w:rFonts w:ascii="Calibri" w:hAnsi="Calibri" w:cs="Calibri"/>
        </w:rPr>
        <w:tab/>
      </w:r>
      <w:r w:rsidR="008A2932">
        <w:rPr>
          <w:rFonts w:ascii="Calibri" w:hAnsi="Calibri" w:cs="Calibri"/>
        </w:rPr>
        <w:tab/>
      </w:r>
      <w:r w:rsidR="008A2932">
        <w:rPr>
          <w:rFonts w:ascii="Calibri" w:hAnsi="Calibri" w:cs="Calibri"/>
        </w:rPr>
        <w:tab/>
      </w:r>
      <w:r>
        <w:rPr>
          <w:rFonts w:ascii="Calibri" w:hAnsi="Calibri" w:cs="Calibri"/>
        </w:rPr>
        <w:t>………………………………………… ,- Kč</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DPH v zákonné výši </w:t>
      </w:r>
      <w:r w:rsidR="008A2932">
        <w:rPr>
          <w:rFonts w:ascii="Calibri" w:hAnsi="Calibri" w:cs="Calibri"/>
        </w:rPr>
        <w:tab/>
      </w:r>
      <w:r w:rsidR="008A2932">
        <w:rPr>
          <w:rFonts w:ascii="Calibri" w:hAnsi="Calibri" w:cs="Calibri"/>
        </w:rPr>
        <w:tab/>
      </w:r>
      <w:r>
        <w:rPr>
          <w:rFonts w:ascii="Calibri" w:hAnsi="Calibri" w:cs="Calibri"/>
        </w:rPr>
        <w:t>………………………………</w:t>
      </w:r>
      <w:r w:rsidR="008A2932">
        <w:rPr>
          <w:rFonts w:ascii="Calibri" w:hAnsi="Calibri" w:cs="Calibri"/>
        </w:rPr>
        <w:t>………..</w:t>
      </w:r>
      <w:r>
        <w:rPr>
          <w:rFonts w:ascii="Calibri" w:hAnsi="Calibri" w:cs="Calibri"/>
        </w:rPr>
        <w:t xml:space="preserve"> ,- Kč</w:t>
      </w:r>
    </w:p>
    <w:p w:rsidR="00AA069C" w:rsidRPr="00195241" w:rsidRDefault="008A2932" w:rsidP="008A2932">
      <w:pPr>
        <w:keepNext/>
        <w:keepLines/>
        <w:tabs>
          <w:tab w:val="left" w:pos="3544"/>
          <w:tab w:val="right" w:leader="dot" w:pos="6521"/>
        </w:tabs>
        <w:ind w:left="567" w:hanging="567"/>
        <w:rPr>
          <w:rFonts w:ascii="Calibri" w:hAnsi="Calibri"/>
          <w:b/>
          <w:szCs w:val="22"/>
        </w:rPr>
      </w:pPr>
      <w:r>
        <w:rPr>
          <w:rFonts w:ascii="Calibri" w:hAnsi="Calibri" w:cs="Calibri"/>
        </w:rPr>
        <w:tab/>
        <w:t>C</w:t>
      </w:r>
      <w:r w:rsidR="00AA069C">
        <w:rPr>
          <w:rFonts w:ascii="Calibri" w:hAnsi="Calibri" w:cs="Calibri"/>
        </w:rPr>
        <w:t xml:space="preserve">ena </w:t>
      </w:r>
      <w:r>
        <w:rPr>
          <w:rFonts w:ascii="Calibri" w:hAnsi="Calibri" w:cs="Calibri"/>
        </w:rPr>
        <w:t xml:space="preserve">celkem </w:t>
      </w:r>
      <w:r w:rsidR="00AA069C">
        <w:rPr>
          <w:rFonts w:ascii="Calibri" w:hAnsi="Calibri" w:cs="Calibri"/>
        </w:rPr>
        <w:t xml:space="preserve">včetně DPH </w:t>
      </w:r>
      <w:r>
        <w:rPr>
          <w:rFonts w:ascii="Calibri" w:hAnsi="Calibri" w:cs="Calibri"/>
        </w:rPr>
        <w:tab/>
      </w:r>
      <w:r w:rsidR="00AA069C">
        <w:rPr>
          <w:rFonts w:ascii="Calibri" w:hAnsi="Calibri" w:cs="Calibri"/>
        </w:rPr>
        <w:t>……………………………………</w:t>
      </w:r>
      <w:proofErr w:type="gramStart"/>
      <w:r>
        <w:rPr>
          <w:rFonts w:ascii="Calibri" w:hAnsi="Calibri" w:cs="Calibri"/>
        </w:rPr>
        <w:t>…..</w:t>
      </w:r>
      <w:r w:rsidR="00AA069C">
        <w:rPr>
          <w:rFonts w:ascii="Calibri" w:hAnsi="Calibri" w:cs="Calibri"/>
        </w:rPr>
        <w:t xml:space="preserve"> ,- Kč</w:t>
      </w:r>
      <w:proofErr w:type="gramEnd"/>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008A2932">
        <w:rPr>
          <w:rFonts w:ascii="Calibri" w:hAnsi="Calibri"/>
          <w:sz w:val="22"/>
          <w:szCs w:val="22"/>
        </w:rPr>
        <w:t>článku XI bodu 11.11 této smlouvy, projektové dokumentace</w:t>
      </w:r>
      <w:r w:rsidR="005915C9">
        <w:rPr>
          <w:rFonts w:ascii="Calibri" w:hAnsi="Calibri"/>
          <w:sz w:val="22"/>
          <w:szCs w:val="22"/>
        </w:rPr>
        <w:t xml:space="preserve"> včetně slepého rozpočtu</w:t>
      </w:r>
      <w:r w:rsidR="008A2932">
        <w:rPr>
          <w:rFonts w:ascii="Calibri" w:hAnsi="Calibri"/>
          <w:sz w:val="22"/>
          <w:szCs w:val="22"/>
        </w:rPr>
        <w:t xml:space="preserv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Default="00AA069C" w:rsidP="00312ADD">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312ADD" w:rsidRPr="00B153D0" w:rsidRDefault="00312ADD" w:rsidP="00312ADD">
      <w:pPr>
        <w:pStyle w:val="BodyText21"/>
        <w:widowControl/>
        <w:tabs>
          <w:tab w:val="left" w:pos="709"/>
        </w:tabs>
        <w:spacing w:line="228" w:lineRule="auto"/>
        <w:ind w:left="567" w:hanging="567"/>
        <w:rPr>
          <w:rFonts w:ascii="Calibri" w:hAnsi="Calibri"/>
          <w:szCs w:val="22"/>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 xml:space="preserve">Vynásobením jednotkových cen a množství provedených měrných jednotek budou stanoveny základní náklady, rovněž pak analogicky náklady související s umístěním stavby (obvyklý pojem: VRN – vedlejší </w:t>
      </w:r>
      <w:r w:rsidRPr="00B153D0">
        <w:rPr>
          <w:rFonts w:ascii="Calibri" w:hAnsi="Calibri"/>
          <w:szCs w:val="22"/>
          <w:lang w:eastAsia="cs-CZ"/>
        </w:rPr>
        <w:lastRenderedPageBreak/>
        <w:t>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8A2932">
        <w:rPr>
          <w:rFonts w:ascii="Calibri" w:hAnsi="Calibri" w:cs="Times New Roman"/>
          <w:b/>
          <w:sz w:val="22"/>
          <w:szCs w:val="22"/>
        </w:rPr>
        <w:t>45</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od </w:t>
      </w:r>
      <w:r w:rsidR="008A2932">
        <w:rPr>
          <w:rFonts w:ascii="Calibri" w:hAnsi="Calibri" w:cs="Times New Roman"/>
          <w:b/>
          <w:sz w:val="22"/>
          <w:szCs w:val="22"/>
        </w:rPr>
        <w:t>uzavření smlouvy</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5915C9">
        <w:rPr>
          <w:rFonts w:ascii="Calibri" w:hAnsi="Calibri" w:cs="Times New Roman"/>
          <w:b/>
          <w:sz w:val="22"/>
          <w:szCs w:val="22"/>
        </w:rPr>
        <w:t>květen</w:t>
      </w:r>
      <w:r w:rsidR="0050650A">
        <w:rPr>
          <w:rFonts w:ascii="Calibri" w:hAnsi="Calibri" w:cs="Times New Roman"/>
          <w:b/>
          <w:sz w:val="22"/>
          <w:szCs w:val="22"/>
        </w:rPr>
        <w:t xml:space="preserve"> 2014</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w:t>
      </w:r>
      <w:r w:rsidR="008A2932">
        <w:rPr>
          <w:rFonts w:ascii="Calibri" w:hAnsi="Calibri" w:cs="Times New Roman"/>
          <w:sz w:val="22"/>
          <w:szCs w:val="22"/>
        </w:rPr>
        <w:t>ednáním dle čl. XI odstavec 11.8</w:t>
      </w:r>
      <w:r>
        <w:rPr>
          <w:rFonts w:ascii="Calibri" w:hAnsi="Calibri" w:cs="Times New Roman"/>
          <w:sz w:val="22"/>
          <w:szCs w:val="22"/>
        </w:rPr>
        <w:t xml:space="preserve"> této smlouvy, je zhotovitel povinen staveniště převzít a zahájit práce dnem následujícím po dni, kdy tato smlouva nabude účinnosti.</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Představují-li vady díla podstatné porušení smlouvy, má objednatel právo (i) na odstranění vady opravou věci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na přiměřenou slevu z kupní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dle předešlé věty. Objednatel oznámí zhotoviteli, jakou variantu si pro vyřešení jeho reklamace vybral, a to bezodkladně po objevení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V uvedeném případě je objednatel rovněž oprávněn požadovat slevu z kupní ceny nebo může od smlouvy odstoupit. Do odstranění vady nemusí objednatel </w:t>
      </w:r>
      <w:r w:rsidR="008C39E8">
        <w:rPr>
          <w:rFonts w:ascii="Calibri" w:hAnsi="Calibri"/>
          <w:szCs w:val="22"/>
        </w:rPr>
        <w:t>platit zhotoviteli část ceny díla odhadem přiměřeně odpovídající jeho právu na slevu.</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05F21"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05F21" w:rsidRPr="00466ED2"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 xml:space="preserve">Vykáže-li dílo vady, je vzhledem k tomu, co sám dodal, zavázán se zhotovitelem společně a nerozdílně i subdodavatel zhotovitele, ledaže prokáže, že vadu způsobilo výslovné rozhodnutí </w:t>
      </w:r>
      <w:r w:rsidR="008A2932">
        <w:rPr>
          <w:rFonts w:ascii="Calibri" w:hAnsi="Calibri" w:cs="Times New Roman"/>
          <w:sz w:val="22"/>
          <w:szCs w:val="22"/>
        </w:rPr>
        <w:t>zhotovitele</w:t>
      </w:r>
      <w:r>
        <w:rPr>
          <w:rFonts w:ascii="Calibri" w:hAnsi="Calibri" w:cs="Times New Roman"/>
          <w:sz w:val="22"/>
          <w:szCs w:val="22"/>
        </w:rPr>
        <w:t xml:space="preserve"> nebo stavebního dozoru a ten, kdo dodal projektovou a stavební dokumentaci, ledaže prokáže, že vadu nezpůsobila chyba v projektové dokumentaci a ten, kdo prováděl stavební dozor, ledaže prokáže, že vadu sám nezavinil.</w:t>
      </w:r>
    </w:p>
    <w:p w:rsidR="00532EE5" w:rsidRDefault="00532EE5" w:rsidP="007F01F8">
      <w:pPr>
        <w:ind w:left="0" w:firstLine="0"/>
        <w:jc w:val="left"/>
        <w:rPr>
          <w:rFonts w:ascii="Calibri" w:hAnsi="Calibri" w:cs="Arial"/>
          <w:b/>
          <w:bCs/>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w:t>
      </w:r>
      <w:r w:rsidR="006E114A">
        <w:rPr>
          <w:rFonts w:ascii="Calibri" w:hAnsi="Calibri" w:cs="Times New Roman"/>
          <w:sz w:val="22"/>
          <w:szCs w:val="22"/>
        </w:rPr>
        <w:t>11.11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čtrnáct (14) dní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dokumentace skutečného provedení díla ve trojím vyhotovení,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geodetické zaměření skutečného provedení stavby ve trojím vyhotovení,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atesty použitých materiálů, prohlášení o shodě, atd.,</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potvrzení o likvidaci odpadů včetně doložení vážních lístků,</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veškeré doklady o zkouškách, revizích atd. dle platných norem a předpisů nutné k přejímce a kolaudaci stavby včetně zajištění příkazu k trvalému dopravnímu značení,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geometrický plán pro zápis do katastru nemovitostí,</w:t>
      </w:r>
    </w:p>
    <w:p w:rsidR="005915C9" w:rsidRPr="00AA060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stavební deník v originále,</w:t>
      </w:r>
    </w:p>
    <w:p w:rsidR="00AA069C" w:rsidRPr="005125F4" w:rsidRDefault="005915C9" w:rsidP="005915C9">
      <w:pPr>
        <w:numPr>
          <w:ilvl w:val="0"/>
          <w:numId w:val="17"/>
        </w:numPr>
        <w:autoSpaceDE w:val="0"/>
        <w:autoSpaceDN w:val="0"/>
        <w:adjustRightInd w:val="0"/>
        <w:ind w:left="993" w:hanging="426"/>
        <w:rPr>
          <w:rFonts w:asciiTheme="minorHAnsi" w:hAnsiTheme="minorHAnsi" w:cs="Arial"/>
          <w:szCs w:val="22"/>
        </w:rPr>
      </w:pPr>
      <w:r w:rsidRPr="00AA0604">
        <w:rPr>
          <w:rFonts w:asciiTheme="minorHAnsi" w:hAnsiTheme="minorHAnsi" w:cs="Arial"/>
          <w:szCs w:val="22"/>
        </w:rPr>
        <w:t>celkové finanční vyúčtování stavby.</w:t>
      </w:r>
    </w:p>
    <w:p w:rsidR="00AA069C"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lastRenderedPageBreak/>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312ADD" w:rsidRPr="007F01F8" w:rsidRDefault="00AA069C" w:rsidP="007F0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sidR="005915C9">
        <w:rPr>
          <w:rFonts w:ascii="Calibri" w:hAnsi="Calibri" w:cs="Times New Roman"/>
          <w:sz w:val="22"/>
          <w:szCs w:val="22"/>
        </w:rPr>
        <w:t xml:space="preserve">itelem pouze </w:t>
      </w:r>
      <w:r w:rsidR="005915C9">
        <w:rPr>
          <w:rFonts w:ascii="Calibri" w:hAnsi="Calibri" w:cs="Times New Roman"/>
          <w:sz w:val="22"/>
          <w:szCs w:val="22"/>
        </w:rPr>
        <w:lastRenderedPageBreak/>
        <w:t xml:space="preserve">do výše 90 % a 10 </w:t>
      </w:r>
      <w:r w:rsidRPr="003F1973">
        <w:rPr>
          <w:rFonts w:ascii="Calibri" w:hAnsi="Calibri" w:cs="Times New Roman"/>
          <w:sz w:val="22"/>
          <w:szCs w:val="22"/>
        </w:rPr>
        <w:t>% z výše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B82D0E" w:rsidRDefault="00AA069C"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lastRenderedPageBreak/>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Pr="00B82D0E">
        <w:rPr>
          <w:rFonts w:asciiTheme="minorHAnsi" w:hAnsiTheme="minorHAns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sidR="00B82D0E">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sidR="00B82D0E">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532EE5"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sidR="005125F4">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B82D0E">
        <w:rPr>
          <w:rFonts w:ascii="Calibri" w:hAnsi="Calibri" w:cs="Times New Roman"/>
          <w:sz w:val="22"/>
          <w:szCs w:val="22"/>
        </w:rPr>
        <w:t xml:space="preserve">m pojistného plnění ve výši </w:t>
      </w:r>
      <w:r w:rsidR="00B82D0E">
        <w:rPr>
          <w:rFonts w:ascii="Calibri" w:hAnsi="Calibri" w:cs="Times New Roman"/>
          <w:sz w:val="22"/>
          <w:szCs w:val="22"/>
        </w:rPr>
        <w:lastRenderedPageBreak/>
        <w:t>2.5</w:t>
      </w:r>
      <w:r w:rsidR="0083496A">
        <w:rPr>
          <w:rFonts w:ascii="Calibri" w:hAnsi="Calibri" w:cs="Times New Roman"/>
          <w:sz w:val="22"/>
          <w:szCs w:val="22"/>
        </w:rPr>
        <w:t>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sidR="00B82D0E">
        <w:rPr>
          <w:rFonts w:ascii="Calibri" w:hAnsi="Calibri" w:cs="Times New Roman"/>
          <w:sz w:val="22"/>
          <w:szCs w:val="22"/>
        </w:rPr>
        <w:t>89/2012 Sb.</w:t>
      </w:r>
      <w:r w:rsidRPr="003F1973">
        <w:rPr>
          <w:rFonts w:ascii="Calibri" w:hAnsi="Calibri" w:cs="Times New Roman"/>
          <w:sz w:val="22"/>
          <w:szCs w:val="22"/>
        </w:rPr>
        <w:t xml:space="preserve"> </w:t>
      </w:r>
      <w:r w:rsidR="00B82D0E">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B82D0E" w:rsidRDefault="00AA069C"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5915C9" w:rsidRPr="005915C9" w:rsidRDefault="005915C9"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F574E8" w:rsidRDefault="00B82D0E"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00AA069C" w:rsidRPr="00F574E8">
        <w:rPr>
          <w:rFonts w:ascii="Calibri" w:hAnsi="Calibri"/>
          <w:szCs w:val="22"/>
        </w:rPr>
        <w:t xml:space="preserve">S ohledem na skutečnost, že plnění této smlouvy je podmíněno </w:t>
      </w:r>
      <w:r w:rsidR="00AA069C">
        <w:rPr>
          <w:rFonts w:ascii="Calibri" w:hAnsi="Calibri"/>
          <w:szCs w:val="22"/>
        </w:rPr>
        <w:t xml:space="preserve">schválením zaplacení ceny díla </w:t>
      </w:r>
      <w:r w:rsidR="00AA069C" w:rsidRPr="00F574E8">
        <w:rPr>
          <w:rFonts w:ascii="Calibri" w:hAnsi="Calibri"/>
          <w:szCs w:val="22"/>
        </w:rPr>
        <w:t>z finančních prostředků z rozpočtu statutárního města Ostr</w:t>
      </w:r>
      <w:r w:rsidR="00AA069C">
        <w:rPr>
          <w:rFonts w:ascii="Calibri" w:hAnsi="Calibri"/>
          <w:szCs w:val="22"/>
        </w:rPr>
        <w:t>avy, městského obvodu Moravská</w:t>
      </w:r>
      <w:r>
        <w:rPr>
          <w:rFonts w:ascii="Calibri" w:hAnsi="Calibri"/>
          <w:szCs w:val="22"/>
        </w:rPr>
        <w:t xml:space="preserve"> Ostrava a Přívoz pro rok 2014</w:t>
      </w:r>
      <w:r w:rsidR="00AA069C" w:rsidRPr="00F574E8">
        <w:rPr>
          <w:rFonts w:ascii="Calibri" w:hAnsi="Calibri"/>
          <w:szCs w:val="22"/>
        </w:rPr>
        <w:t>, sjednávají smluvní strany v </w:t>
      </w:r>
      <w:r w:rsidR="00AA069C">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00AA069C" w:rsidRPr="00F574E8">
        <w:rPr>
          <w:rFonts w:ascii="Calibri" w:hAnsi="Calibri"/>
          <w:szCs w:val="22"/>
        </w:rPr>
        <w:t xml:space="preserve">, odkládací </w:t>
      </w:r>
      <w:r w:rsidR="00AA069C">
        <w:rPr>
          <w:rFonts w:ascii="Calibri" w:hAnsi="Calibri"/>
          <w:szCs w:val="22"/>
        </w:rPr>
        <w:t xml:space="preserve">podmínku nabytí účinnosti této </w:t>
      </w:r>
      <w:r w:rsidR="00AA069C" w:rsidRPr="00F574E8">
        <w:rPr>
          <w:rFonts w:ascii="Calibri" w:hAnsi="Calibri"/>
          <w:szCs w:val="22"/>
        </w:rPr>
        <w:t>smlouvy. Tato smlouva nabude účinnosti dnem schválení finančních prostředků na realizaci této smlouvy v plné výši v rozpočtu statutárního města Ostra</w:t>
      </w:r>
      <w:r w:rsidR="00AA069C">
        <w:rPr>
          <w:rFonts w:ascii="Calibri" w:hAnsi="Calibri"/>
          <w:szCs w:val="22"/>
        </w:rPr>
        <w:t xml:space="preserve">vy, městského obvodu Moravská </w:t>
      </w:r>
      <w:r>
        <w:rPr>
          <w:rFonts w:ascii="Calibri" w:hAnsi="Calibri"/>
          <w:szCs w:val="22"/>
        </w:rPr>
        <w:t>Ostrava a Přívoz pro rok 2014</w:t>
      </w:r>
      <w:r w:rsidR="00AA069C" w:rsidRPr="00F574E8">
        <w:rPr>
          <w:rFonts w:ascii="Calibri" w:hAnsi="Calibri"/>
          <w:szCs w:val="22"/>
        </w:rPr>
        <w:t>. O této skutečnosti je objednatel</w:t>
      </w:r>
      <w:r w:rsidR="00AA069C">
        <w:rPr>
          <w:rFonts w:ascii="Calibri" w:hAnsi="Calibri"/>
          <w:szCs w:val="22"/>
        </w:rPr>
        <w:t xml:space="preserve"> povinen informovat zhotovitele </w:t>
      </w:r>
      <w:r w:rsidR="00AA069C" w:rsidRPr="00F574E8">
        <w:rPr>
          <w:rFonts w:ascii="Calibri" w:hAnsi="Calibri"/>
          <w:szCs w:val="22"/>
        </w:rPr>
        <w:t>bezodkladně. Za objednatele je oprávněn toto oznámení vyhotovit a svým podpisem potvrdit</w:t>
      </w:r>
      <w:r w:rsidR="00AA069C">
        <w:rPr>
          <w:rFonts w:ascii="Calibri" w:hAnsi="Calibri"/>
          <w:szCs w:val="22"/>
        </w:rPr>
        <w:t xml:space="preserve"> </w:t>
      </w:r>
      <w:r w:rsidR="00AA069C" w:rsidRPr="00F574E8">
        <w:rPr>
          <w:rFonts w:ascii="Calibri" w:hAnsi="Calibri"/>
          <w:szCs w:val="22"/>
        </w:rPr>
        <w:t xml:space="preserve">vedoucí odboru investic a místního hospodářství.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11.10</w:t>
      </w:r>
      <w:r w:rsidR="00AA069C">
        <w:rPr>
          <w:rFonts w:ascii="Calibri" w:hAnsi="Calibri" w:cs="Times New Roman"/>
          <w:sz w:val="22"/>
          <w:szCs w:val="22"/>
        </w:rPr>
        <w:tab/>
      </w:r>
      <w:r w:rsidR="00AA069C" w:rsidRPr="003F1973">
        <w:rPr>
          <w:rFonts w:ascii="Calibri" w:hAnsi="Calibri" w:cs="Times New Roman"/>
          <w:sz w:val="22"/>
          <w:szCs w:val="22"/>
        </w:rPr>
        <w:t xml:space="preserve">O uzavření této smlouvy rozhodla dne </w:t>
      </w:r>
      <w:r w:rsidR="00AA069C">
        <w:rPr>
          <w:rFonts w:ascii="Calibri" w:hAnsi="Calibri" w:cs="Times New Roman"/>
          <w:sz w:val="22"/>
          <w:szCs w:val="22"/>
        </w:rPr>
        <w:t>____________</w:t>
      </w:r>
      <w:r w:rsidR="00AA069C"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AA069C"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názvem „</w:t>
      </w:r>
      <w:r w:rsidR="005915C9" w:rsidRPr="00A65134">
        <w:rPr>
          <w:rFonts w:asciiTheme="minorHAnsi" w:hAnsiTheme="minorHAnsi" w:cs="Calibri"/>
          <w:b/>
          <w:sz w:val="22"/>
          <w:szCs w:val="22"/>
        </w:rPr>
        <w:t>Parkování Fifejdy-3. lokalita</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00AA069C">
        <w:rPr>
          <w:rFonts w:ascii="Calibri" w:hAnsi="Calibri" w:cs="Times New Roman"/>
          <w:sz w:val="22"/>
          <w:szCs w:val="22"/>
        </w:rPr>
        <w:t xml:space="preserve"> Zadávací dokumentace a veškeré tam uvedené podmínky tak tvoří nedílnou součást této smlouvy, což obě smluvní strany berou na vědomí.</w:t>
      </w:r>
      <w:r w:rsidR="00AA069C" w:rsidRPr="005A6D47">
        <w:rPr>
          <w:rFonts w:ascii="Times New Roman" w:hAnsi="Times New Roman" w:cs="Times New Roman"/>
          <w:sz w:val="22"/>
          <w:szCs w:val="22"/>
        </w:rPr>
        <w:t xml:space="preserve"> </w:t>
      </w:r>
    </w:p>
    <w:p w:rsidR="007F01F8" w:rsidRPr="005A6D47" w:rsidRDefault="007F01F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AA069C" w:rsidRDefault="00AA069C" w:rsidP="00BB4B6F"/>
    <w:p w:rsidR="00AA069C" w:rsidRDefault="00AA069C" w:rsidP="00532EE5">
      <w:pPr>
        <w:rPr>
          <w:rFonts w:ascii="Calibri" w:hAnsi="Calibri" w:cs="Arial"/>
          <w:b/>
          <w:szCs w:val="22"/>
        </w:rPr>
      </w:pPr>
      <w:r w:rsidRPr="008E58A9">
        <w:rPr>
          <w:rFonts w:ascii="Calibri" w:hAnsi="Calibri" w:cs="Arial"/>
          <w:b/>
          <w:szCs w:val="22"/>
        </w:rPr>
        <w:t>Příloha</w:t>
      </w:r>
      <w:r w:rsidR="00532EE5">
        <w:rPr>
          <w:rFonts w:ascii="Calibri" w:hAnsi="Calibri"/>
          <w:szCs w:val="22"/>
        </w:rPr>
        <w:t xml:space="preserve">: </w:t>
      </w:r>
      <w:r>
        <w:rPr>
          <w:rFonts w:ascii="Calibri" w:hAnsi="Calibri" w:cs="Arial"/>
          <w:b/>
          <w:szCs w:val="22"/>
        </w:rPr>
        <w:t>Položkový rozpočet</w:t>
      </w:r>
    </w:p>
    <w:p w:rsidR="007F01F8" w:rsidRPr="00532EE5" w:rsidRDefault="007F01F8" w:rsidP="00532EE5">
      <w:pPr>
        <w:rPr>
          <w:rFonts w:ascii="Calibri" w:hAnsi="Calibri"/>
          <w:szCs w:val="22"/>
        </w:rPr>
      </w:pPr>
    </w:p>
    <w:p w:rsidR="00AA069C" w:rsidRPr="008E58A9" w:rsidRDefault="00AA069C" w:rsidP="008E58A9">
      <w:pPr>
        <w:ind w:left="0" w:firstLine="0"/>
        <w:rPr>
          <w:rFonts w:ascii="Calibri" w:hAnsi="Calibri" w:cs="Arial"/>
          <w:b/>
          <w:szCs w:val="22"/>
        </w:rPr>
      </w:pPr>
    </w:p>
    <w:p w:rsidR="00AA069C"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312ADD" w:rsidRPr="008E58A9" w:rsidRDefault="00312ADD" w:rsidP="00BB4B6F">
      <w:pPr>
        <w:rPr>
          <w:rFonts w:ascii="Calibri" w:hAnsi="Calibri" w:cs="Arial"/>
          <w:b/>
          <w:szCs w:val="22"/>
        </w:rPr>
      </w:pP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r>
        <w:rPr>
          <w:rFonts w:ascii="Calibri" w:hAnsi="Calibri"/>
          <w:szCs w:val="22"/>
        </w:rPr>
        <w:tab/>
      </w:r>
      <w:r w:rsidRPr="008E58A9">
        <w:rPr>
          <w:rFonts w:ascii="Calibri" w:hAnsi="Calibri"/>
          <w:szCs w:val="22"/>
        </w:rPr>
        <w:tab/>
      </w:r>
    </w:p>
    <w:p w:rsidR="00AA069C" w:rsidRDefault="00AA069C" w:rsidP="009D5821">
      <w:pPr>
        <w:ind w:left="0" w:firstLine="0"/>
        <w:outlineLvl w:val="0"/>
        <w:rPr>
          <w:rFonts w:ascii="Calibri" w:hAnsi="Calibri"/>
          <w:szCs w:val="22"/>
        </w:rPr>
      </w:pPr>
    </w:p>
    <w:p w:rsidR="00532EE5" w:rsidRDefault="00532EE5"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532EE5">
      <w:pPr>
        <w:ind w:left="0" w:firstLine="0"/>
        <w:outlineLvl w:val="0"/>
        <w:rPr>
          <w:rFonts w:ascii="Calibri" w:hAnsi="Calibri"/>
          <w:szCs w:val="22"/>
        </w:rPr>
      </w:pPr>
    </w:p>
    <w:p w:rsidR="00532EE5" w:rsidRPr="008E58A9" w:rsidRDefault="00532EE5" w:rsidP="00532EE5">
      <w:pPr>
        <w:ind w:left="0" w:firstLine="0"/>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532EE5" w:rsidRDefault="00AA069C" w:rsidP="00532EE5">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w:t>
      </w:r>
      <w:r w:rsidR="00532EE5">
        <w:rPr>
          <w:rFonts w:ascii="Calibri" w:hAnsi="Calibri"/>
          <w:szCs w:val="22"/>
        </w:rPr>
        <w:t>,</w:t>
      </w:r>
      <w:r w:rsidRPr="008E58A9">
        <w:rPr>
          <w:rFonts w:ascii="Calibri" w:hAnsi="Calibri"/>
          <w:szCs w:val="22"/>
        </w:rPr>
        <w:t xml:space="preserve"> </w:t>
      </w:r>
      <w:proofErr w:type="gramStart"/>
      <w:r w:rsidRPr="008E58A9">
        <w:rPr>
          <w:rFonts w:ascii="Calibri" w:hAnsi="Calibri"/>
          <w:szCs w:val="22"/>
        </w:rPr>
        <w:t>jméno,  příjmení</w:t>
      </w:r>
      <w:proofErr w:type="gramEnd"/>
      <w:r w:rsidR="00532EE5">
        <w:rPr>
          <w:rFonts w:ascii="Calibri" w:hAnsi="Calibri"/>
          <w:szCs w:val="22"/>
        </w:rPr>
        <w:t>, funkce</w:t>
      </w:r>
      <w:r>
        <w:tab/>
      </w:r>
    </w:p>
    <w:sectPr w:rsidR="00AA069C" w:rsidRPr="00532EE5" w:rsidSect="00532EE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9D" w:rsidRDefault="0027409D">
      <w:r>
        <w:separator/>
      </w:r>
    </w:p>
    <w:p w:rsidR="0027409D" w:rsidRDefault="0027409D"/>
    <w:p w:rsidR="0027409D" w:rsidRDefault="0027409D" w:rsidP="003A4FAD"/>
    <w:p w:rsidR="0027409D" w:rsidRDefault="0027409D"/>
    <w:p w:rsidR="0027409D" w:rsidRDefault="0027409D"/>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p w:rsidR="0027409D" w:rsidRDefault="0027409D"/>
    <w:p w:rsidR="0027409D" w:rsidRDefault="0027409D"/>
    <w:p w:rsidR="0027409D" w:rsidRDefault="0027409D" w:rsidP="00F75207"/>
    <w:p w:rsidR="0027409D" w:rsidRDefault="0027409D" w:rsidP="00F75207"/>
    <w:p w:rsidR="0027409D" w:rsidRDefault="0027409D"/>
    <w:p w:rsidR="0027409D" w:rsidRDefault="0027409D"/>
    <w:p w:rsidR="0027409D" w:rsidRDefault="0027409D"/>
    <w:p w:rsidR="0027409D" w:rsidRDefault="0027409D" w:rsidP="008A2932"/>
  </w:endnote>
  <w:endnote w:type="continuationSeparator" w:id="0">
    <w:p w:rsidR="0027409D" w:rsidRDefault="0027409D">
      <w:r>
        <w:continuationSeparator/>
      </w:r>
    </w:p>
    <w:p w:rsidR="0027409D" w:rsidRDefault="0027409D"/>
    <w:p w:rsidR="0027409D" w:rsidRDefault="0027409D" w:rsidP="003A4FAD"/>
    <w:p w:rsidR="0027409D" w:rsidRDefault="0027409D"/>
    <w:p w:rsidR="0027409D" w:rsidRDefault="0027409D"/>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p w:rsidR="0027409D" w:rsidRDefault="0027409D"/>
    <w:p w:rsidR="0027409D" w:rsidRDefault="0027409D"/>
    <w:p w:rsidR="0027409D" w:rsidRDefault="0027409D" w:rsidP="00F75207"/>
    <w:p w:rsidR="0027409D" w:rsidRDefault="0027409D" w:rsidP="00F75207"/>
    <w:p w:rsidR="0027409D" w:rsidRDefault="0027409D"/>
    <w:p w:rsidR="0027409D" w:rsidRDefault="0027409D"/>
    <w:p w:rsidR="0027409D" w:rsidRDefault="0027409D"/>
    <w:p w:rsidR="0027409D" w:rsidRDefault="0027409D" w:rsidP="008A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09194B" w:rsidRDefault="0083496A"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3D8F1314" wp14:editId="34DBC19B">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00766EF7"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766EF7" w:rsidRPr="005E4F1F">
      <w:rPr>
        <w:rStyle w:val="slostrnky"/>
        <w:rFonts w:cs="Arial"/>
        <w:b w:val="0"/>
        <w:kern w:val="24"/>
      </w:rPr>
      <w:fldChar w:fldCharType="separate"/>
    </w:r>
    <w:r w:rsidR="00461C70">
      <w:rPr>
        <w:rStyle w:val="slostrnky"/>
        <w:rFonts w:cs="Arial"/>
        <w:b w:val="0"/>
        <w:noProof/>
        <w:kern w:val="24"/>
      </w:rPr>
      <w:t>2</w:t>
    </w:r>
    <w:r w:rsidR="00766EF7" w:rsidRPr="005E4F1F">
      <w:rPr>
        <w:rStyle w:val="slostrnky"/>
        <w:rFonts w:cs="Arial"/>
        <w:b w:val="0"/>
        <w:kern w:val="24"/>
      </w:rPr>
      <w:fldChar w:fldCharType="end"/>
    </w:r>
    <w:r w:rsidR="00AA069C" w:rsidRPr="005E4F1F">
      <w:rPr>
        <w:rStyle w:val="slostrnky"/>
        <w:rFonts w:cs="Arial"/>
        <w:b w:val="0"/>
        <w:kern w:val="24"/>
      </w:rPr>
      <w:t>/</w:t>
    </w:r>
    <w:r w:rsidR="00766EF7"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766EF7" w:rsidRPr="005E4F1F">
      <w:rPr>
        <w:rStyle w:val="slostrnky"/>
        <w:rFonts w:cs="Arial"/>
        <w:b w:val="0"/>
        <w:kern w:val="24"/>
      </w:rPr>
      <w:fldChar w:fldCharType="separate"/>
    </w:r>
    <w:r w:rsidR="00461C70">
      <w:rPr>
        <w:rStyle w:val="slostrnky"/>
        <w:rFonts w:cs="Arial"/>
        <w:b w:val="0"/>
        <w:noProof/>
        <w:kern w:val="24"/>
      </w:rPr>
      <w:t>13</w:t>
    </w:r>
    <w:r w:rsidR="00766EF7" w:rsidRPr="005E4F1F">
      <w:rPr>
        <w:rStyle w:val="slostrnky"/>
        <w:rFonts w:cs="Arial"/>
        <w:b w:val="0"/>
        <w:kern w:val="24"/>
      </w:rPr>
      <w:fldChar w:fldCharType="end"/>
    </w:r>
    <w:r w:rsidR="00AA069C">
      <w:rPr>
        <w:rStyle w:val="slostrnky"/>
        <w:rFonts w:cs="Arial"/>
        <w:b w:val="0"/>
        <w:kern w:val="24"/>
      </w:rPr>
      <w:t xml:space="preserve">    </w:t>
    </w:r>
    <w:r w:rsidR="00AA069C" w:rsidRPr="00FD39A0">
      <w:rPr>
        <w:rStyle w:val="slostrnky"/>
        <w:rFonts w:cs="Arial"/>
        <w:b w:val="0"/>
        <w:kern w:val="24"/>
        <w:sz w:val="16"/>
        <w:szCs w:val="16"/>
      </w:rPr>
      <w:t xml:space="preserve">Smlouva o dílo </w:t>
    </w:r>
    <w:r w:rsidR="00AA069C" w:rsidRPr="005915C9">
      <w:rPr>
        <w:rStyle w:val="slostrnky"/>
        <w:rFonts w:cs="Arial"/>
        <w:b w:val="0"/>
        <w:kern w:val="24"/>
        <w:sz w:val="18"/>
        <w:szCs w:val="18"/>
      </w:rPr>
      <w:t xml:space="preserve">– </w:t>
    </w:r>
    <w:r w:rsidR="00AA069C" w:rsidRPr="005915C9">
      <w:rPr>
        <w:rStyle w:val="slostrnky"/>
        <w:rFonts w:asciiTheme="minorHAnsi" w:hAnsiTheme="minorHAnsi" w:cs="Arial"/>
        <w:kern w:val="24"/>
        <w:sz w:val="18"/>
        <w:szCs w:val="18"/>
      </w:rPr>
      <w:t>„</w:t>
    </w:r>
    <w:r w:rsidR="005915C9" w:rsidRPr="005915C9">
      <w:rPr>
        <w:rFonts w:asciiTheme="minorHAnsi" w:hAnsiTheme="minorHAnsi" w:cs="Calibri"/>
        <w:b/>
        <w:sz w:val="18"/>
        <w:szCs w:val="18"/>
      </w:rPr>
      <w:t>Parkování Fifejdy-3. lokalita</w:t>
    </w:r>
    <w:r w:rsidR="00AA069C" w:rsidRPr="005915C9">
      <w:rPr>
        <w:rFonts w:asciiTheme="minorHAnsi" w:hAnsiTheme="minorHAnsi" w:cs="Calibri"/>
        <w:sz w:val="18"/>
        <w:szCs w:val="18"/>
      </w:rPr>
      <w:t>“</w:t>
    </w:r>
  </w:p>
  <w:p w:rsidR="00AA069C" w:rsidRPr="00A87119" w:rsidRDefault="00AA069C" w:rsidP="00BB4B6F">
    <w:pPr>
      <w:pStyle w:val="Zpat"/>
      <w:tabs>
        <w:tab w:val="clear" w:pos="4536"/>
        <w:tab w:val="clear" w:pos="9072"/>
        <w:tab w:val="left" w:pos="1418"/>
        <w:tab w:val="center" w:pos="14220"/>
      </w:tabs>
      <w:spacing w:line="240" w:lineRule="exact"/>
      <w:rPr>
        <w:kern w:val="24"/>
      </w:rPr>
    </w:pPr>
  </w:p>
  <w:p w:rsidR="00AA069C" w:rsidRPr="00930C1D" w:rsidRDefault="00AA069C"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B82D0E" w:rsidRDefault="00B82D0E"/>
  <w:p w:rsidR="00B82D0E" w:rsidRDefault="00B82D0E" w:rsidP="008A2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5915C9" w:rsidRDefault="00532EE5" w:rsidP="00532EE5">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sidRPr="00532EE5">
      <w:rPr>
        <w:rStyle w:val="slostrnky"/>
        <w:rFonts w:cs="Arial"/>
        <w:b w:val="0"/>
        <w:noProof/>
        <w:kern w:val="24"/>
      </w:rPr>
      <w:drawing>
        <wp:anchor distT="0" distB="0" distL="114300" distR="114300" simplePos="0" relativeHeight="251662336" behindDoc="1" locked="0" layoutInCell="1" allowOverlap="1" wp14:anchorId="44999E74" wp14:editId="54609444">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00766EF7" w:rsidRPr="005E4F1F">
      <w:rPr>
        <w:rStyle w:val="slostrnky"/>
        <w:rFonts w:cs="Arial"/>
        <w:b w:val="0"/>
        <w:kern w:val="24"/>
      </w:rPr>
      <w:fldChar w:fldCharType="begin"/>
    </w:r>
    <w:r w:rsidRPr="005E4F1F">
      <w:rPr>
        <w:rStyle w:val="slostrnky"/>
        <w:rFonts w:cs="Arial"/>
        <w:b w:val="0"/>
        <w:kern w:val="24"/>
      </w:rPr>
      <w:instrText xml:space="preserve"> PAGE </w:instrText>
    </w:r>
    <w:r w:rsidR="00766EF7" w:rsidRPr="005E4F1F">
      <w:rPr>
        <w:rStyle w:val="slostrnky"/>
        <w:rFonts w:cs="Arial"/>
        <w:b w:val="0"/>
        <w:kern w:val="24"/>
      </w:rPr>
      <w:fldChar w:fldCharType="separate"/>
    </w:r>
    <w:r w:rsidR="009769E3">
      <w:rPr>
        <w:rStyle w:val="slostrnky"/>
        <w:rFonts w:cs="Arial"/>
        <w:b w:val="0"/>
        <w:noProof/>
        <w:kern w:val="24"/>
      </w:rPr>
      <w:t>1</w:t>
    </w:r>
    <w:r w:rsidR="00766EF7" w:rsidRPr="005E4F1F">
      <w:rPr>
        <w:rStyle w:val="slostrnky"/>
        <w:rFonts w:cs="Arial"/>
        <w:b w:val="0"/>
        <w:kern w:val="24"/>
      </w:rPr>
      <w:fldChar w:fldCharType="end"/>
    </w:r>
    <w:r w:rsidRPr="005E4F1F">
      <w:rPr>
        <w:rStyle w:val="slostrnky"/>
        <w:rFonts w:cs="Arial"/>
        <w:b w:val="0"/>
        <w:kern w:val="24"/>
      </w:rPr>
      <w:t>/</w:t>
    </w:r>
    <w:r w:rsidR="00766EF7" w:rsidRPr="005E4F1F">
      <w:rPr>
        <w:rStyle w:val="slostrnky"/>
        <w:rFonts w:cs="Arial"/>
        <w:b w:val="0"/>
        <w:kern w:val="24"/>
      </w:rPr>
      <w:fldChar w:fldCharType="begin"/>
    </w:r>
    <w:r w:rsidRPr="005E4F1F">
      <w:rPr>
        <w:rStyle w:val="slostrnky"/>
        <w:rFonts w:cs="Arial"/>
        <w:b w:val="0"/>
        <w:kern w:val="24"/>
      </w:rPr>
      <w:instrText xml:space="preserve"> NUMPAGES </w:instrText>
    </w:r>
    <w:r w:rsidR="00766EF7" w:rsidRPr="005E4F1F">
      <w:rPr>
        <w:rStyle w:val="slostrnky"/>
        <w:rFonts w:cs="Arial"/>
        <w:b w:val="0"/>
        <w:kern w:val="24"/>
      </w:rPr>
      <w:fldChar w:fldCharType="separate"/>
    </w:r>
    <w:r w:rsidR="009769E3">
      <w:rPr>
        <w:rStyle w:val="slostrnky"/>
        <w:rFonts w:cs="Arial"/>
        <w:b w:val="0"/>
        <w:noProof/>
        <w:kern w:val="24"/>
      </w:rPr>
      <w:t>13</w:t>
    </w:r>
    <w:r w:rsidR="00766EF7"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sidRPr="005915C9">
      <w:rPr>
        <w:rStyle w:val="slostrnky"/>
        <w:rFonts w:cs="Arial"/>
        <w:b w:val="0"/>
        <w:kern w:val="24"/>
        <w:sz w:val="18"/>
        <w:szCs w:val="18"/>
      </w:rPr>
      <w:t xml:space="preserve">– </w:t>
    </w:r>
    <w:r w:rsidRPr="005915C9">
      <w:rPr>
        <w:rStyle w:val="slostrnky"/>
        <w:rFonts w:ascii="Calibri" w:hAnsi="Calibri" w:cs="Arial"/>
        <w:kern w:val="24"/>
        <w:sz w:val="18"/>
        <w:szCs w:val="18"/>
      </w:rPr>
      <w:t>„</w:t>
    </w:r>
    <w:r w:rsidR="005915C9" w:rsidRPr="005915C9">
      <w:rPr>
        <w:rFonts w:asciiTheme="minorHAnsi" w:hAnsiTheme="minorHAnsi" w:cs="Calibri"/>
        <w:b/>
        <w:sz w:val="18"/>
        <w:szCs w:val="18"/>
      </w:rPr>
      <w:t>Parkování Fifejdy-3. lokalita</w:t>
    </w:r>
    <w:r w:rsidRPr="005915C9">
      <w:rPr>
        <w:rFonts w:ascii="Calibri" w:hAnsi="Calibri" w:cs="Calibri"/>
        <w:sz w:val="18"/>
        <w:szCs w:val="18"/>
      </w:rPr>
      <w:t>“</w:t>
    </w:r>
  </w:p>
  <w:p w:rsidR="00532EE5" w:rsidRDefault="00532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9D" w:rsidRDefault="0027409D">
      <w:r>
        <w:separator/>
      </w:r>
    </w:p>
    <w:p w:rsidR="0027409D" w:rsidRDefault="0027409D"/>
    <w:p w:rsidR="0027409D" w:rsidRDefault="0027409D" w:rsidP="003A4FAD"/>
    <w:p w:rsidR="0027409D" w:rsidRDefault="0027409D"/>
    <w:p w:rsidR="0027409D" w:rsidRDefault="0027409D"/>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p w:rsidR="0027409D" w:rsidRDefault="0027409D"/>
    <w:p w:rsidR="0027409D" w:rsidRDefault="0027409D"/>
    <w:p w:rsidR="0027409D" w:rsidRDefault="0027409D" w:rsidP="00F75207"/>
    <w:p w:rsidR="0027409D" w:rsidRDefault="0027409D" w:rsidP="00F75207"/>
    <w:p w:rsidR="0027409D" w:rsidRDefault="0027409D"/>
    <w:p w:rsidR="0027409D" w:rsidRDefault="0027409D"/>
    <w:p w:rsidR="0027409D" w:rsidRDefault="0027409D"/>
    <w:p w:rsidR="0027409D" w:rsidRDefault="0027409D" w:rsidP="008A2932"/>
  </w:footnote>
  <w:footnote w:type="continuationSeparator" w:id="0">
    <w:p w:rsidR="0027409D" w:rsidRDefault="0027409D">
      <w:r>
        <w:continuationSeparator/>
      </w:r>
    </w:p>
    <w:p w:rsidR="0027409D" w:rsidRDefault="0027409D"/>
    <w:p w:rsidR="0027409D" w:rsidRDefault="0027409D" w:rsidP="003A4FAD"/>
    <w:p w:rsidR="0027409D" w:rsidRDefault="0027409D"/>
    <w:p w:rsidR="0027409D" w:rsidRDefault="0027409D"/>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rsidP="00911049"/>
    <w:p w:rsidR="0027409D" w:rsidRDefault="0027409D"/>
    <w:p w:rsidR="0027409D" w:rsidRDefault="0027409D"/>
    <w:p w:rsidR="0027409D" w:rsidRDefault="0027409D"/>
    <w:p w:rsidR="0027409D" w:rsidRDefault="0027409D" w:rsidP="00F75207"/>
    <w:p w:rsidR="0027409D" w:rsidRDefault="0027409D" w:rsidP="00F75207"/>
    <w:p w:rsidR="0027409D" w:rsidRDefault="0027409D"/>
    <w:p w:rsidR="0027409D" w:rsidRDefault="0027409D"/>
    <w:p w:rsidR="0027409D" w:rsidRDefault="0027409D"/>
    <w:p w:rsidR="0027409D" w:rsidRDefault="0027409D" w:rsidP="008A2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p w:rsidR="00B82D0E" w:rsidRDefault="00B82D0E"/>
  <w:p w:rsidR="00B82D0E" w:rsidRDefault="00B82D0E" w:rsidP="008A29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Pr>
      <w:pStyle w:val="Zhlav"/>
    </w:pPr>
    <w:r>
      <w:t>Statutární město Ostrava</w:t>
    </w:r>
    <w:r>
      <w:tab/>
      <w:t xml:space="preserve">                                                                                                                       </w:t>
    </w:r>
    <w:r w:rsidRPr="0054037B">
      <w:rPr>
        <w:b/>
      </w:rPr>
      <w:t>Smlouva</w:t>
    </w:r>
  </w:p>
  <w:p w:rsidR="00AA069C" w:rsidRPr="0054037B" w:rsidRDefault="00AA069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24368F">
      <w:rPr>
        <w:b/>
      </w:rPr>
      <w:t>4</w:t>
    </w:r>
    <w:r w:rsidRPr="0054037B">
      <w:rPr>
        <w:b/>
      </w:rPr>
      <w:t>/OIMH</w:t>
    </w:r>
    <w:proofErr w:type="gramEnd"/>
  </w:p>
  <w:p w:rsidR="00AA069C" w:rsidRDefault="00AA069C">
    <w:pPr>
      <w:pStyle w:val="Zhlav"/>
    </w:pPr>
    <w:r>
      <w:rPr>
        <w:b/>
      </w:rPr>
      <w:t>ú</w:t>
    </w:r>
    <w:r w:rsidRPr="0054037B">
      <w:rPr>
        <w:b/>
      </w:rPr>
      <w:t>řad městského obvodu</w:t>
    </w:r>
  </w:p>
  <w:p w:rsidR="00AA069C" w:rsidRDefault="00AA069C"/>
  <w:p w:rsidR="00B82D0E" w:rsidRDefault="00B82D0E" w:rsidP="008A29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CF26AA" w:rsidRDefault="00532EE5"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532EE5" w:rsidRPr="0054037B" w:rsidRDefault="00532EE5" w:rsidP="00532EE5">
    <w:pPr>
      <w:pStyle w:val="Zhlav"/>
      <w:rPr>
        <w:b/>
      </w:rPr>
    </w:pPr>
    <w:r>
      <w:rPr>
        <w:b/>
      </w:rPr>
      <w:t>m</w:t>
    </w:r>
    <w:r w:rsidRPr="0054037B">
      <w:rPr>
        <w:b/>
      </w:rPr>
      <w:t>ěstský obvod Moravská Ostrava a Přívoz</w:t>
    </w:r>
  </w:p>
  <w:p w:rsidR="00532EE5" w:rsidRPr="0054037B" w:rsidRDefault="00532EE5" w:rsidP="00532EE5">
    <w:pPr>
      <w:pStyle w:val="Zhlav"/>
      <w:rPr>
        <w:b/>
      </w:rPr>
    </w:pPr>
    <w:r>
      <w:rPr>
        <w:b/>
      </w:rPr>
      <w:t>ú</w:t>
    </w:r>
    <w:r w:rsidRPr="0054037B">
      <w:rPr>
        <w:b/>
      </w:rPr>
      <w:t>řad městského obvodu</w:t>
    </w:r>
  </w:p>
  <w:p w:rsidR="00532EE5" w:rsidRDefault="0053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1286" w:hanging="360"/>
      </w:pPr>
      <w:rPr>
        <w:rFonts w:ascii="Times New Roman" w:eastAsia="Times New Roman" w:hAnsi="Times New Roman" w:hint="default"/>
      </w:rPr>
    </w:lvl>
    <w:lvl w:ilvl="1" w:tplc="04050003">
      <w:start w:val="1"/>
      <w:numFmt w:val="bullet"/>
      <w:lvlText w:val="o"/>
      <w:lvlJc w:val="left"/>
      <w:pPr>
        <w:ind w:left="2006" w:hanging="360"/>
      </w:pPr>
      <w:rPr>
        <w:rFonts w:ascii="Courier New" w:hAnsi="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9"/>
  </w:num>
  <w:num w:numId="3">
    <w:abstractNumId w:val="8"/>
  </w:num>
  <w:num w:numId="4">
    <w:abstractNumId w:val="1"/>
  </w:num>
  <w:num w:numId="5">
    <w:abstractNumId w:val="6"/>
  </w:num>
  <w:num w:numId="6">
    <w:abstractNumId w:val="2"/>
  </w:num>
  <w:num w:numId="7">
    <w:abstractNumId w:val="13"/>
  </w:num>
  <w:num w:numId="8">
    <w:abstractNumId w:val="17"/>
  </w:num>
  <w:num w:numId="9">
    <w:abstractNumId w:val="11"/>
  </w:num>
  <w:num w:numId="10">
    <w:abstractNumId w:val="12"/>
  </w:num>
  <w:num w:numId="11">
    <w:abstractNumId w:val="4"/>
  </w:num>
  <w:num w:numId="12">
    <w:abstractNumId w:val="15"/>
  </w:num>
  <w:num w:numId="13">
    <w:abstractNumId w:val="3"/>
  </w:num>
  <w:num w:numId="14">
    <w:abstractNumId w:val="16"/>
  </w:num>
  <w:num w:numId="15">
    <w:abstractNumId w:val="5"/>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23D7B"/>
    <w:rsid w:val="0003736D"/>
    <w:rsid w:val="00040990"/>
    <w:rsid w:val="0004541F"/>
    <w:rsid w:val="00045D2F"/>
    <w:rsid w:val="00047368"/>
    <w:rsid w:val="00055F36"/>
    <w:rsid w:val="00071B3B"/>
    <w:rsid w:val="00073931"/>
    <w:rsid w:val="0007645A"/>
    <w:rsid w:val="00090196"/>
    <w:rsid w:val="0009194B"/>
    <w:rsid w:val="000A3E0D"/>
    <w:rsid w:val="000A7A04"/>
    <w:rsid w:val="000B3F73"/>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05A97"/>
    <w:rsid w:val="002176B4"/>
    <w:rsid w:val="00217E3F"/>
    <w:rsid w:val="00223267"/>
    <w:rsid w:val="002242B5"/>
    <w:rsid w:val="002331B4"/>
    <w:rsid w:val="0024092D"/>
    <w:rsid w:val="0024368F"/>
    <w:rsid w:val="00244010"/>
    <w:rsid w:val="00245EA7"/>
    <w:rsid w:val="002521A4"/>
    <w:rsid w:val="002579F8"/>
    <w:rsid w:val="00257FA2"/>
    <w:rsid w:val="00264FF6"/>
    <w:rsid w:val="0027409D"/>
    <w:rsid w:val="002763AB"/>
    <w:rsid w:val="0028222F"/>
    <w:rsid w:val="0029739F"/>
    <w:rsid w:val="002B0E07"/>
    <w:rsid w:val="002B5D01"/>
    <w:rsid w:val="002B7396"/>
    <w:rsid w:val="002C5E2C"/>
    <w:rsid w:val="002D5C79"/>
    <w:rsid w:val="002E73B1"/>
    <w:rsid w:val="002E7AF7"/>
    <w:rsid w:val="002F6C49"/>
    <w:rsid w:val="00312ADD"/>
    <w:rsid w:val="00314676"/>
    <w:rsid w:val="0032061D"/>
    <w:rsid w:val="0032235B"/>
    <w:rsid w:val="00322710"/>
    <w:rsid w:val="00332E05"/>
    <w:rsid w:val="00342BC9"/>
    <w:rsid w:val="003544C2"/>
    <w:rsid w:val="00365F25"/>
    <w:rsid w:val="00370E4E"/>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36BE7"/>
    <w:rsid w:val="0044079E"/>
    <w:rsid w:val="00447A2C"/>
    <w:rsid w:val="0045059A"/>
    <w:rsid w:val="004511A2"/>
    <w:rsid w:val="004522ED"/>
    <w:rsid w:val="00453DFF"/>
    <w:rsid w:val="00454118"/>
    <w:rsid w:val="00461C70"/>
    <w:rsid w:val="00466ED2"/>
    <w:rsid w:val="00490B8D"/>
    <w:rsid w:val="004A3318"/>
    <w:rsid w:val="004C0CD4"/>
    <w:rsid w:val="004C2B74"/>
    <w:rsid w:val="00503310"/>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15C9"/>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50B4"/>
    <w:rsid w:val="00655D12"/>
    <w:rsid w:val="00674E25"/>
    <w:rsid w:val="00680696"/>
    <w:rsid w:val="006812B6"/>
    <w:rsid w:val="00686803"/>
    <w:rsid w:val="00696B58"/>
    <w:rsid w:val="00697C9A"/>
    <w:rsid w:val="006B3E28"/>
    <w:rsid w:val="006C2050"/>
    <w:rsid w:val="006E114A"/>
    <w:rsid w:val="006E27A6"/>
    <w:rsid w:val="006E71AE"/>
    <w:rsid w:val="006F3C1C"/>
    <w:rsid w:val="006F6472"/>
    <w:rsid w:val="00700833"/>
    <w:rsid w:val="00703EC3"/>
    <w:rsid w:val="00733AD1"/>
    <w:rsid w:val="00741C90"/>
    <w:rsid w:val="00744D38"/>
    <w:rsid w:val="00745596"/>
    <w:rsid w:val="007510FF"/>
    <w:rsid w:val="00764C4B"/>
    <w:rsid w:val="00766EF7"/>
    <w:rsid w:val="007679E5"/>
    <w:rsid w:val="007825C8"/>
    <w:rsid w:val="00784465"/>
    <w:rsid w:val="00793F83"/>
    <w:rsid w:val="007A1319"/>
    <w:rsid w:val="007A27E3"/>
    <w:rsid w:val="007A45E6"/>
    <w:rsid w:val="007A666E"/>
    <w:rsid w:val="007B6DE6"/>
    <w:rsid w:val="007D13E6"/>
    <w:rsid w:val="007D33EA"/>
    <w:rsid w:val="007D47B3"/>
    <w:rsid w:val="007E33AE"/>
    <w:rsid w:val="007E782C"/>
    <w:rsid w:val="007F01F8"/>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70C8"/>
    <w:rsid w:val="008C289A"/>
    <w:rsid w:val="008C39E8"/>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769E3"/>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87119"/>
    <w:rsid w:val="00A92C11"/>
    <w:rsid w:val="00A9670A"/>
    <w:rsid w:val="00A97D2D"/>
    <w:rsid w:val="00AA069C"/>
    <w:rsid w:val="00AA7802"/>
    <w:rsid w:val="00AB0217"/>
    <w:rsid w:val="00AB2848"/>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E45C7"/>
    <w:rsid w:val="00C00B86"/>
    <w:rsid w:val="00C046A4"/>
    <w:rsid w:val="00C05F21"/>
    <w:rsid w:val="00C0770C"/>
    <w:rsid w:val="00C1211E"/>
    <w:rsid w:val="00C1342E"/>
    <w:rsid w:val="00C14923"/>
    <w:rsid w:val="00C21693"/>
    <w:rsid w:val="00C26C76"/>
    <w:rsid w:val="00C333AE"/>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DA56-57B6-4188-AB78-C3E32A19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5449</Words>
  <Characters>32155</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Kloss Dalibor</cp:lastModifiedBy>
  <cp:revision>8</cp:revision>
  <cp:lastPrinted>2014-03-21T09:02:00Z</cp:lastPrinted>
  <dcterms:created xsi:type="dcterms:W3CDTF">2014-03-19T15:48:00Z</dcterms:created>
  <dcterms:modified xsi:type="dcterms:W3CDTF">2014-03-21T09:10:00Z</dcterms:modified>
</cp:coreProperties>
</file>