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5915C9" w:rsidRDefault="00AA069C" w:rsidP="00DB7CD3">
      <w:pPr>
        <w:pStyle w:val="Import1"/>
        <w:spacing w:line="228" w:lineRule="auto"/>
        <w:jc w:val="center"/>
        <w:outlineLvl w:val="0"/>
        <w:rPr>
          <w:rFonts w:ascii="Calibri" w:hAnsi="Calibri" w:cs="Arial"/>
          <w:b/>
          <w:bCs/>
          <w:i w:val="0"/>
          <w:iCs w:val="0"/>
          <w:sz w:val="22"/>
          <w:szCs w:val="22"/>
          <w:u w:val="none"/>
        </w:rPr>
      </w:pPr>
      <w:r w:rsidRPr="005915C9">
        <w:rPr>
          <w:rFonts w:ascii="Calibri" w:hAnsi="Calibri" w:cs="Arial"/>
          <w:b/>
          <w:bCs/>
          <w:i w:val="0"/>
          <w:iCs w:val="0"/>
          <w:sz w:val="22"/>
          <w:szCs w:val="22"/>
          <w:u w:val="none"/>
        </w:rPr>
        <w:t>„</w:t>
      </w:r>
      <w:r w:rsidR="00E82C3C" w:rsidRPr="00E82C3C">
        <w:rPr>
          <w:rFonts w:asciiTheme="minorHAnsi" w:hAnsiTheme="minorHAnsi" w:cs="Calibri"/>
          <w:b/>
          <w:i w:val="0"/>
          <w:sz w:val="22"/>
          <w:szCs w:val="22"/>
          <w:u w:val="none"/>
        </w:rPr>
        <w:t>Rekonstrukce vnitrobloku Hrušovská – Sadová</w:t>
      </w:r>
      <w:r w:rsidRPr="005915C9">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č.__________/2014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k (dále také „OZ“)</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961AF9" w:rsidRPr="00DB7CD3" w:rsidRDefault="00AA069C" w:rsidP="00961AF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 xml:space="preserve">             </w:t>
      </w:r>
      <w:r w:rsidRPr="00DB7CD3">
        <w:rPr>
          <w:rFonts w:ascii="Calibri" w:hAnsi="Calibri"/>
          <w:sz w:val="22"/>
          <w:szCs w:val="22"/>
        </w:rPr>
        <w:tab/>
      </w:r>
      <w:r w:rsidR="00961AF9" w:rsidRPr="00DB7CD3">
        <w:rPr>
          <w:rFonts w:ascii="Calibri" w:hAnsi="Calibri" w:cs="Times New Roman"/>
          <w:sz w:val="22"/>
          <w:szCs w:val="22"/>
        </w:rPr>
        <w:t xml:space="preserve">Ing. </w:t>
      </w:r>
      <w:r w:rsidR="00961AF9">
        <w:rPr>
          <w:rFonts w:ascii="Calibri" w:hAnsi="Calibri" w:cs="Times New Roman"/>
          <w:sz w:val="22"/>
          <w:szCs w:val="22"/>
        </w:rPr>
        <w:t>Jiří Geisler</w:t>
      </w:r>
      <w:r w:rsidR="00961AF9" w:rsidRPr="00DB7CD3">
        <w:rPr>
          <w:rFonts w:ascii="Calibri" w:hAnsi="Calibri" w:cs="Times New Roman"/>
          <w:sz w:val="22"/>
          <w:szCs w:val="22"/>
        </w:rPr>
        <w:t xml:space="preserve">, </w:t>
      </w:r>
      <w:r w:rsidR="00961AF9">
        <w:rPr>
          <w:rFonts w:ascii="Calibri" w:hAnsi="Calibri" w:cs="Times New Roman"/>
          <w:sz w:val="22"/>
          <w:szCs w:val="22"/>
        </w:rPr>
        <w:t>referent</w:t>
      </w:r>
      <w:r w:rsidR="00961AF9" w:rsidRPr="00DB7CD3">
        <w:rPr>
          <w:rFonts w:ascii="Calibri" w:hAnsi="Calibri" w:cs="Times New Roman"/>
          <w:sz w:val="22"/>
          <w:szCs w:val="22"/>
        </w:rPr>
        <w:t xml:space="preserve">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E82C3C" w:rsidRPr="00792A20">
        <w:rPr>
          <w:rFonts w:asciiTheme="minorHAnsi" w:hAnsiTheme="minorHAnsi" w:cs="Calibri"/>
          <w:b/>
          <w:szCs w:val="22"/>
        </w:rPr>
        <w:t>Rekonstrukce vnitrobloku Hrušovská – Sadová</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sidR="0050650A">
        <w:rPr>
          <w:rFonts w:ascii="Calibri" w:hAnsi="Calibri"/>
          <w:szCs w:val="22"/>
        </w:rPr>
        <w:t xml:space="preserve">y nabídkou zadavatele podanou v zadávacím </w:t>
      </w:r>
      <w:r w:rsidRPr="00DB7CD3">
        <w:rPr>
          <w:rFonts w:ascii="Calibri" w:hAnsi="Calibri"/>
          <w:szCs w:val="22"/>
        </w:rPr>
        <w:t>řízení speci</w:t>
      </w:r>
      <w:r w:rsidR="008A2932">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w:t>
      </w:r>
      <w:r w:rsidR="00B21E93" w:rsidRPr="00203799">
        <w:rPr>
          <w:rFonts w:asciiTheme="minorHAnsi" w:hAnsiTheme="minorHAnsi"/>
        </w:rPr>
        <w:t xml:space="preserve">dle projektové dokumentace </w:t>
      </w:r>
      <w:r w:rsidR="00E82C3C" w:rsidRPr="00792A20">
        <w:rPr>
          <w:rFonts w:asciiTheme="minorHAnsi" w:hAnsiTheme="minorHAnsi"/>
        </w:rPr>
        <w:t>s názvem „Vnitroblok ul.Hrušovská a ul.Sadová“, vypracované společností STUDIO-D Opava s.r.o., 747 74 Holasovice 171, IČ 268 33 115, v červnu 2014</w:t>
      </w:r>
      <w:r w:rsidR="00B21E93">
        <w:rPr>
          <w:rFonts w:asciiTheme="minorHAnsi" w:hAnsiTheme="minorHAnsi"/>
        </w:rPr>
        <w:t>, a to</w:t>
      </w:r>
      <w:r w:rsidR="00B21E93" w:rsidRPr="00203799">
        <w:rPr>
          <w:rFonts w:asciiTheme="minorHAnsi" w:hAnsiTheme="minorHAns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8A2932"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E82C3C" w:rsidRPr="00792A20" w:rsidRDefault="00E82C3C" w:rsidP="00E82C3C">
      <w:pPr>
        <w:ind w:left="567" w:hanging="11"/>
        <w:rPr>
          <w:rFonts w:asciiTheme="minorHAnsi" w:hAnsiTheme="minorHAnsi" w:cs="Calibri"/>
          <w:szCs w:val="22"/>
        </w:rPr>
      </w:pPr>
      <w:r w:rsidRPr="00792A20">
        <w:rPr>
          <w:rFonts w:asciiTheme="minorHAnsi" w:hAnsiTheme="minorHAnsi" w:cs="Calibri"/>
          <w:szCs w:val="22"/>
        </w:rPr>
        <w:t xml:space="preserve">Předmětem veřejné zakázky je realizace stavby „Rekonstrukce vnitrobloku Hrušovská - Sadová“ v katastrálním území Moravská Ostrava, která zahrnuje revitalizaci a úpravy zpevněných ploch a zeleně. Řešené území je v zastavěné části města se stávajícím příjezdem, vnitroblok slouží k parkování a relaxaci. Vnitroblok bude řešen jako obytná zóna s jednosměrnou veřejně přístupnou komunikací. Stavba je na pozemcích </w:t>
      </w:r>
      <w:proofErr w:type="spellStart"/>
      <w:proofErr w:type="gramStart"/>
      <w:r w:rsidRPr="00792A20">
        <w:rPr>
          <w:rFonts w:asciiTheme="minorHAnsi" w:hAnsiTheme="minorHAnsi" w:cs="Calibri"/>
          <w:szCs w:val="22"/>
        </w:rPr>
        <w:t>parc</w:t>
      </w:r>
      <w:proofErr w:type="gramEnd"/>
      <w:r w:rsidRPr="00792A20">
        <w:rPr>
          <w:rFonts w:asciiTheme="minorHAnsi" w:hAnsiTheme="minorHAnsi" w:cs="Calibri"/>
          <w:szCs w:val="22"/>
        </w:rPr>
        <w:t>.</w:t>
      </w:r>
      <w:proofErr w:type="gramStart"/>
      <w:r w:rsidRPr="00792A20">
        <w:rPr>
          <w:rFonts w:asciiTheme="minorHAnsi" w:hAnsiTheme="minorHAnsi" w:cs="Calibri"/>
          <w:szCs w:val="22"/>
        </w:rPr>
        <w:t>č</w:t>
      </w:r>
      <w:proofErr w:type="spellEnd"/>
      <w:r w:rsidRPr="00792A20">
        <w:rPr>
          <w:rFonts w:asciiTheme="minorHAnsi" w:hAnsiTheme="minorHAnsi" w:cs="Calibri"/>
          <w:szCs w:val="22"/>
        </w:rPr>
        <w:t>.</w:t>
      </w:r>
      <w:proofErr w:type="gramEnd"/>
      <w:r w:rsidRPr="00792A20">
        <w:rPr>
          <w:rFonts w:asciiTheme="minorHAnsi" w:hAnsiTheme="minorHAnsi" w:cs="Calibri"/>
          <w:szCs w:val="22"/>
        </w:rPr>
        <w:t xml:space="preserve"> 1101/25, 1101/14, 1100/8, 1100/7</w:t>
      </w:r>
      <w:r w:rsidRPr="00792A20">
        <w:rPr>
          <w:rFonts w:asciiTheme="minorHAnsi" w:hAnsiTheme="minorHAnsi"/>
          <w:szCs w:val="22"/>
        </w:rPr>
        <w:t>.</w:t>
      </w:r>
    </w:p>
    <w:p w:rsidR="00E82C3C" w:rsidRPr="00792A20" w:rsidRDefault="00E82C3C" w:rsidP="00E82C3C">
      <w:pPr>
        <w:ind w:left="567" w:hanging="11"/>
        <w:rPr>
          <w:rFonts w:asciiTheme="minorHAnsi" w:hAnsiTheme="minorHAnsi" w:cs="Calibri"/>
          <w:szCs w:val="22"/>
        </w:rPr>
      </w:pPr>
    </w:p>
    <w:p w:rsidR="00E82C3C" w:rsidRPr="00792A20" w:rsidRDefault="00E82C3C" w:rsidP="00E82C3C">
      <w:pPr>
        <w:ind w:left="567" w:hanging="11"/>
        <w:rPr>
          <w:rFonts w:asciiTheme="minorHAnsi" w:hAnsiTheme="minorHAnsi" w:cs="Calibri"/>
          <w:szCs w:val="22"/>
        </w:rPr>
      </w:pPr>
      <w:r w:rsidRPr="00792A20">
        <w:rPr>
          <w:rFonts w:asciiTheme="minorHAnsi" w:hAnsiTheme="minorHAnsi" w:cs="Calibri"/>
          <w:szCs w:val="22"/>
        </w:rPr>
        <w:t>Členění stavby dle projektové dokumentace na stavební objekty:</w:t>
      </w:r>
    </w:p>
    <w:p w:rsidR="00E82C3C" w:rsidRDefault="00E82C3C" w:rsidP="00E82C3C">
      <w:pPr>
        <w:tabs>
          <w:tab w:val="num" w:pos="540"/>
          <w:tab w:val="num" w:pos="900"/>
        </w:tabs>
        <w:ind w:left="567" w:hanging="11"/>
        <w:rPr>
          <w:rFonts w:asciiTheme="minorHAnsi" w:hAnsiTheme="minorHAnsi" w:cs="Calibri"/>
          <w:szCs w:val="22"/>
        </w:rPr>
      </w:pPr>
      <w:r w:rsidRPr="00792A20">
        <w:rPr>
          <w:rFonts w:asciiTheme="minorHAnsi" w:hAnsiTheme="minorHAnsi" w:cs="Calibri"/>
          <w:szCs w:val="22"/>
        </w:rPr>
        <w:t>SO 01 – Komunikace a zpevněné plochy</w:t>
      </w:r>
    </w:p>
    <w:p w:rsidR="00D77B22" w:rsidRPr="00792A20" w:rsidRDefault="00D77B22" w:rsidP="00E82C3C">
      <w:pPr>
        <w:tabs>
          <w:tab w:val="num" w:pos="540"/>
          <w:tab w:val="num" w:pos="900"/>
        </w:tabs>
        <w:ind w:left="567" w:hanging="11"/>
        <w:rPr>
          <w:rFonts w:asciiTheme="minorHAnsi" w:hAnsiTheme="minorHAnsi" w:cs="Calibri"/>
          <w:szCs w:val="22"/>
        </w:rPr>
      </w:pPr>
      <w:r>
        <w:rPr>
          <w:rFonts w:asciiTheme="minorHAnsi" w:hAnsiTheme="minorHAnsi" w:cs="Calibri"/>
          <w:szCs w:val="22"/>
        </w:rPr>
        <w:t>SO 02 – Chráničky IS (inženýrských sítí)</w:t>
      </w:r>
    </w:p>
    <w:p w:rsidR="00E82C3C" w:rsidRPr="00792A20" w:rsidRDefault="00E82C3C" w:rsidP="00E82C3C">
      <w:pPr>
        <w:tabs>
          <w:tab w:val="num" w:pos="540"/>
          <w:tab w:val="num" w:pos="900"/>
        </w:tabs>
        <w:ind w:left="567" w:hanging="11"/>
        <w:rPr>
          <w:rFonts w:asciiTheme="minorHAnsi" w:hAnsiTheme="minorHAnsi" w:cs="Calibri"/>
          <w:szCs w:val="22"/>
        </w:rPr>
      </w:pPr>
      <w:r w:rsidRPr="00792A20">
        <w:rPr>
          <w:rFonts w:asciiTheme="minorHAnsi" w:hAnsiTheme="minorHAnsi" w:cs="Calibri"/>
          <w:szCs w:val="22"/>
        </w:rPr>
        <w:t>SO 03 – Sadové úpravy</w:t>
      </w:r>
    </w:p>
    <w:p w:rsidR="00E82C3C" w:rsidRPr="00792A20" w:rsidRDefault="00E82C3C" w:rsidP="00E82C3C">
      <w:pPr>
        <w:ind w:left="567" w:hanging="11"/>
        <w:rPr>
          <w:rFonts w:asciiTheme="minorHAnsi" w:hAnsiTheme="minorHAnsi" w:cs="Calibri"/>
          <w:szCs w:val="22"/>
        </w:rPr>
      </w:pPr>
    </w:p>
    <w:p w:rsidR="00E82C3C" w:rsidRPr="00792A20" w:rsidRDefault="00E82C3C" w:rsidP="00E82C3C">
      <w:pPr>
        <w:pStyle w:val="Normln1"/>
        <w:tabs>
          <w:tab w:val="left" w:pos="426"/>
        </w:tabs>
        <w:ind w:left="567" w:hanging="11"/>
        <w:jc w:val="both"/>
        <w:rPr>
          <w:rFonts w:asciiTheme="minorHAnsi" w:hAnsiTheme="minorHAnsi" w:cs="Calibri"/>
          <w:b/>
          <w:bCs/>
        </w:rPr>
      </w:pPr>
      <w:r w:rsidRPr="00792A20">
        <w:rPr>
          <w:rFonts w:asciiTheme="minorHAnsi" w:hAnsiTheme="minorHAnsi" w:cs="Calibri"/>
          <w:b/>
          <w:bCs/>
        </w:rPr>
        <w:t>Základní popis prací</w:t>
      </w:r>
    </w:p>
    <w:p w:rsidR="00E82C3C" w:rsidRPr="00792A20" w:rsidRDefault="00E82C3C" w:rsidP="00E82C3C">
      <w:pPr>
        <w:tabs>
          <w:tab w:val="num" w:pos="540"/>
          <w:tab w:val="num" w:pos="900"/>
        </w:tabs>
        <w:ind w:left="567" w:hanging="11"/>
        <w:rPr>
          <w:rFonts w:asciiTheme="minorHAnsi" w:hAnsiTheme="minorHAnsi" w:cs="Calibri"/>
          <w:szCs w:val="22"/>
        </w:rPr>
      </w:pPr>
      <w:r w:rsidRPr="00792A20">
        <w:rPr>
          <w:rFonts w:asciiTheme="minorHAnsi" w:hAnsiTheme="minorHAnsi" w:cs="Calibri"/>
          <w:szCs w:val="22"/>
        </w:rPr>
        <w:t>SO 01 – Komunikace a zpevněné plochy</w:t>
      </w:r>
    </w:p>
    <w:p w:rsidR="00E82C3C" w:rsidRPr="00792A20" w:rsidRDefault="00E82C3C" w:rsidP="00E82C3C">
      <w:pPr>
        <w:pStyle w:val="ZkladntextIMP"/>
        <w:ind w:left="567" w:hanging="11"/>
        <w:jc w:val="both"/>
        <w:rPr>
          <w:rFonts w:asciiTheme="minorHAnsi" w:hAnsiTheme="minorHAnsi"/>
          <w:sz w:val="22"/>
          <w:szCs w:val="22"/>
        </w:rPr>
      </w:pPr>
      <w:proofErr w:type="gramStart"/>
      <w:r w:rsidRPr="00792A20">
        <w:rPr>
          <w:rFonts w:asciiTheme="minorHAnsi" w:hAnsiTheme="minorHAnsi"/>
          <w:sz w:val="22"/>
          <w:szCs w:val="22"/>
        </w:rPr>
        <w:t>-  demolice</w:t>
      </w:r>
      <w:proofErr w:type="gramEnd"/>
      <w:r w:rsidRPr="00792A20">
        <w:rPr>
          <w:rFonts w:asciiTheme="minorHAnsi" w:hAnsiTheme="minorHAnsi"/>
          <w:sz w:val="22"/>
          <w:szCs w:val="22"/>
        </w:rPr>
        <w:t xml:space="preserve"> stávajících povrchů chodníků, vozovky vč. určených vrstev podkladu</w:t>
      </w:r>
    </w:p>
    <w:p w:rsidR="00E82C3C" w:rsidRPr="00792A20" w:rsidRDefault="00E82C3C" w:rsidP="00E82C3C">
      <w:pPr>
        <w:pStyle w:val="ZkladntextIMP"/>
        <w:ind w:left="567" w:hanging="11"/>
        <w:jc w:val="both"/>
        <w:rPr>
          <w:rFonts w:asciiTheme="minorHAnsi" w:hAnsiTheme="minorHAnsi"/>
          <w:sz w:val="22"/>
          <w:szCs w:val="22"/>
        </w:rPr>
      </w:pPr>
      <w:proofErr w:type="gramStart"/>
      <w:r w:rsidRPr="00792A20">
        <w:rPr>
          <w:rFonts w:asciiTheme="minorHAnsi" w:hAnsiTheme="minorHAnsi"/>
          <w:sz w:val="22"/>
          <w:szCs w:val="22"/>
        </w:rPr>
        <w:t>-  provedení</w:t>
      </w:r>
      <w:proofErr w:type="gramEnd"/>
      <w:r w:rsidRPr="00792A20">
        <w:rPr>
          <w:rFonts w:asciiTheme="minorHAnsi" w:hAnsiTheme="minorHAnsi"/>
          <w:sz w:val="22"/>
          <w:szCs w:val="22"/>
        </w:rPr>
        <w:t xml:space="preserve"> nových podkladních vrstev, včetně zkoušek únosnosti podloží</w:t>
      </w:r>
    </w:p>
    <w:p w:rsidR="00E82C3C" w:rsidRPr="00792A20" w:rsidRDefault="00E82C3C" w:rsidP="00E82C3C">
      <w:pPr>
        <w:pStyle w:val="ZkladntextIMP"/>
        <w:ind w:left="567" w:hanging="11"/>
        <w:jc w:val="both"/>
        <w:rPr>
          <w:rFonts w:asciiTheme="minorHAnsi" w:hAnsiTheme="minorHAnsi"/>
          <w:sz w:val="22"/>
          <w:szCs w:val="22"/>
        </w:rPr>
      </w:pPr>
      <w:proofErr w:type="gramStart"/>
      <w:r w:rsidRPr="00792A20">
        <w:rPr>
          <w:rFonts w:asciiTheme="minorHAnsi" w:hAnsiTheme="minorHAnsi"/>
          <w:sz w:val="22"/>
          <w:szCs w:val="22"/>
        </w:rPr>
        <w:t>-  provedení</w:t>
      </w:r>
      <w:proofErr w:type="gramEnd"/>
      <w:r w:rsidRPr="00792A20">
        <w:rPr>
          <w:rFonts w:asciiTheme="minorHAnsi" w:hAnsiTheme="minorHAnsi"/>
          <w:sz w:val="22"/>
          <w:szCs w:val="22"/>
        </w:rPr>
        <w:t xml:space="preserve"> nových povrchů:</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xml:space="preserve">- dlážděná komunikace, parkovací stání – zámková dlažba 200/200/80 mm </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přístupový chodník – dlažební kostky 100/100 mm</w:t>
      </w:r>
    </w:p>
    <w:p w:rsidR="00961AF9" w:rsidRDefault="00961AF9" w:rsidP="00E82C3C">
      <w:pPr>
        <w:pStyle w:val="ZkladntextIMP"/>
        <w:ind w:left="567" w:hanging="11"/>
        <w:jc w:val="both"/>
        <w:rPr>
          <w:rFonts w:asciiTheme="minorHAnsi" w:hAnsiTheme="minorHAnsi"/>
          <w:sz w:val="22"/>
          <w:szCs w:val="22"/>
        </w:rPr>
      </w:pPr>
      <w:proofErr w:type="gramStart"/>
      <w:r>
        <w:rPr>
          <w:rFonts w:asciiTheme="minorHAnsi" w:hAnsiTheme="minorHAnsi"/>
          <w:sz w:val="22"/>
          <w:szCs w:val="22"/>
        </w:rPr>
        <w:t xml:space="preserve">- </w:t>
      </w:r>
      <w:r w:rsidR="00E82C3C" w:rsidRPr="00792A20">
        <w:rPr>
          <w:rFonts w:asciiTheme="minorHAnsi" w:hAnsiTheme="minorHAnsi"/>
          <w:sz w:val="22"/>
          <w:szCs w:val="22"/>
        </w:rPr>
        <w:t xml:space="preserve"> </w:t>
      </w:r>
      <w:r>
        <w:rPr>
          <w:rFonts w:asciiTheme="minorHAnsi" w:hAnsiTheme="minorHAnsi"/>
          <w:sz w:val="22"/>
          <w:szCs w:val="22"/>
        </w:rPr>
        <w:t>provedení</w:t>
      </w:r>
      <w:proofErr w:type="gramEnd"/>
      <w:r>
        <w:rPr>
          <w:rFonts w:asciiTheme="minorHAnsi" w:hAnsiTheme="minorHAnsi"/>
          <w:sz w:val="22"/>
          <w:szCs w:val="22"/>
        </w:rPr>
        <w:t xml:space="preserve"> </w:t>
      </w:r>
      <w:proofErr w:type="spellStart"/>
      <w:r w:rsidR="00E82C3C" w:rsidRPr="00792A20">
        <w:rPr>
          <w:rFonts w:asciiTheme="minorHAnsi" w:hAnsiTheme="minorHAnsi"/>
          <w:sz w:val="22"/>
          <w:szCs w:val="22"/>
        </w:rPr>
        <w:t>gabionov</w:t>
      </w:r>
      <w:r>
        <w:rPr>
          <w:rFonts w:asciiTheme="minorHAnsi" w:hAnsiTheme="minorHAnsi"/>
          <w:sz w:val="22"/>
          <w:szCs w:val="22"/>
        </w:rPr>
        <w:t>é</w:t>
      </w:r>
      <w:proofErr w:type="spellEnd"/>
      <w:r w:rsidR="00E82C3C" w:rsidRPr="00792A20">
        <w:rPr>
          <w:rFonts w:asciiTheme="minorHAnsi" w:hAnsiTheme="minorHAnsi"/>
          <w:sz w:val="22"/>
          <w:szCs w:val="22"/>
        </w:rPr>
        <w:t xml:space="preserve"> zídk</w:t>
      </w:r>
      <w:r>
        <w:rPr>
          <w:rFonts w:asciiTheme="minorHAnsi" w:hAnsiTheme="minorHAnsi"/>
          <w:sz w:val="22"/>
          <w:szCs w:val="22"/>
        </w:rPr>
        <w:t>y</w:t>
      </w:r>
      <w:r w:rsidR="00E82C3C" w:rsidRPr="00792A20">
        <w:rPr>
          <w:rFonts w:asciiTheme="minorHAnsi" w:hAnsiTheme="minorHAnsi"/>
          <w:sz w:val="22"/>
          <w:szCs w:val="22"/>
        </w:rPr>
        <w:t xml:space="preserve"> výšky 150 mm nad terénem, šířky 500 mm</w:t>
      </w:r>
      <w:r>
        <w:rPr>
          <w:rFonts w:asciiTheme="minorHAnsi" w:hAnsiTheme="minorHAnsi"/>
          <w:sz w:val="22"/>
          <w:szCs w:val="22"/>
        </w:rPr>
        <w:t xml:space="preserve"> (částečné lemování </w:t>
      </w:r>
    </w:p>
    <w:p w:rsidR="00E82C3C" w:rsidRPr="00792A20" w:rsidRDefault="00961AF9" w:rsidP="00E82C3C">
      <w:pPr>
        <w:pStyle w:val="ZkladntextIMP"/>
        <w:ind w:left="567" w:hanging="11"/>
        <w:jc w:val="both"/>
        <w:rPr>
          <w:rFonts w:asciiTheme="minorHAnsi" w:hAnsiTheme="minorHAnsi"/>
          <w:sz w:val="22"/>
          <w:szCs w:val="22"/>
        </w:rPr>
      </w:pPr>
      <w:r>
        <w:rPr>
          <w:rFonts w:asciiTheme="minorHAnsi" w:hAnsiTheme="minorHAnsi"/>
          <w:sz w:val="22"/>
          <w:szCs w:val="22"/>
        </w:rPr>
        <w:t xml:space="preserve">   parkoviště),</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xml:space="preserve">- osazení betonových obrubníků a žulových obrub,  </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odvodnění komunikací, parkoviště – výměna stávajících vpustí</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dopravní značení svislé a vodorovné</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xml:space="preserve">- bezbariérové úpravy z reliéfní dlažby </w:t>
      </w:r>
    </w:p>
    <w:p w:rsidR="00E82C3C" w:rsidRPr="00792A20"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výšková úprava poklopů</w:t>
      </w:r>
    </w:p>
    <w:p w:rsidR="00E82C3C" w:rsidRDefault="00E82C3C" w:rsidP="00E82C3C">
      <w:pPr>
        <w:pStyle w:val="ZkladntextIMP"/>
        <w:ind w:left="567" w:hanging="11"/>
        <w:jc w:val="both"/>
        <w:rPr>
          <w:rFonts w:asciiTheme="minorHAnsi" w:hAnsiTheme="minorHAnsi"/>
          <w:sz w:val="22"/>
          <w:szCs w:val="22"/>
        </w:rPr>
      </w:pPr>
      <w:r w:rsidRPr="00792A20">
        <w:rPr>
          <w:rFonts w:asciiTheme="minorHAnsi" w:hAnsiTheme="minorHAnsi"/>
          <w:sz w:val="22"/>
          <w:szCs w:val="22"/>
        </w:rPr>
        <w:t>- mobiliář – osazení mechanických zábran</w:t>
      </w:r>
    </w:p>
    <w:p w:rsidR="00D77B22" w:rsidRDefault="00D77B22" w:rsidP="00E82C3C">
      <w:pPr>
        <w:pStyle w:val="ZkladntextIMP"/>
        <w:ind w:left="567" w:hanging="11"/>
        <w:jc w:val="both"/>
        <w:rPr>
          <w:rFonts w:asciiTheme="minorHAnsi" w:hAnsiTheme="minorHAnsi"/>
          <w:sz w:val="22"/>
          <w:szCs w:val="22"/>
        </w:rPr>
      </w:pPr>
    </w:p>
    <w:p w:rsidR="00CB5244" w:rsidRPr="00792A20" w:rsidRDefault="00CB5244" w:rsidP="00E82C3C">
      <w:pPr>
        <w:pStyle w:val="ZkladntextIMP"/>
        <w:ind w:left="567" w:hanging="11"/>
        <w:jc w:val="both"/>
        <w:rPr>
          <w:rFonts w:asciiTheme="minorHAnsi" w:hAnsiTheme="minorHAnsi"/>
          <w:sz w:val="22"/>
          <w:szCs w:val="22"/>
        </w:rPr>
      </w:pPr>
    </w:p>
    <w:p w:rsidR="00D77B22" w:rsidRPr="00792A20" w:rsidRDefault="00D77B22" w:rsidP="00D77B22">
      <w:pPr>
        <w:tabs>
          <w:tab w:val="num" w:pos="540"/>
          <w:tab w:val="num" w:pos="900"/>
        </w:tabs>
        <w:ind w:left="567" w:hanging="11"/>
        <w:rPr>
          <w:rFonts w:asciiTheme="minorHAnsi" w:hAnsiTheme="minorHAnsi" w:cs="Calibri"/>
          <w:szCs w:val="22"/>
        </w:rPr>
      </w:pPr>
      <w:r>
        <w:rPr>
          <w:rFonts w:asciiTheme="minorHAnsi" w:hAnsiTheme="minorHAnsi" w:cs="Calibri"/>
          <w:szCs w:val="22"/>
        </w:rPr>
        <w:lastRenderedPageBreak/>
        <w:t>SO 02 – Chráničky IS (inženýrských sítí)</w:t>
      </w:r>
    </w:p>
    <w:p w:rsidR="00D77B22" w:rsidRPr="00792A20" w:rsidRDefault="00D77B22" w:rsidP="00D77B22">
      <w:pPr>
        <w:pStyle w:val="ZkladntextIMP"/>
        <w:ind w:left="567" w:hanging="11"/>
        <w:jc w:val="both"/>
        <w:rPr>
          <w:rFonts w:asciiTheme="minorHAnsi" w:hAnsiTheme="minorHAnsi"/>
          <w:sz w:val="22"/>
          <w:szCs w:val="22"/>
        </w:rPr>
      </w:pPr>
      <w:r w:rsidRPr="00792A20">
        <w:rPr>
          <w:rFonts w:asciiTheme="minorHAnsi" w:hAnsiTheme="minorHAnsi"/>
          <w:sz w:val="22"/>
          <w:szCs w:val="22"/>
        </w:rPr>
        <w:t>- ochrana stávajících kabelových vedení chráničkami</w:t>
      </w:r>
    </w:p>
    <w:p w:rsidR="00D77B22" w:rsidRPr="00792A20" w:rsidRDefault="00D77B22" w:rsidP="00E82C3C">
      <w:pPr>
        <w:pStyle w:val="Normln1"/>
        <w:tabs>
          <w:tab w:val="left" w:pos="426"/>
        </w:tabs>
        <w:ind w:left="567" w:hanging="11"/>
        <w:jc w:val="both"/>
        <w:rPr>
          <w:rFonts w:asciiTheme="minorHAnsi" w:hAnsiTheme="minorHAnsi" w:cs="Calibri"/>
          <w:b/>
          <w:bCs/>
        </w:rPr>
      </w:pPr>
    </w:p>
    <w:p w:rsidR="00E82C3C" w:rsidRPr="00792A20" w:rsidRDefault="00E82C3C" w:rsidP="00E82C3C">
      <w:pPr>
        <w:tabs>
          <w:tab w:val="num" w:pos="540"/>
          <w:tab w:val="num" w:pos="900"/>
        </w:tabs>
        <w:ind w:left="567" w:hanging="11"/>
        <w:rPr>
          <w:rFonts w:asciiTheme="minorHAnsi" w:hAnsiTheme="minorHAnsi" w:cs="Calibri"/>
          <w:szCs w:val="22"/>
        </w:rPr>
      </w:pPr>
      <w:r w:rsidRPr="00792A20">
        <w:rPr>
          <w:rFonts w:asciiTheme="minorHAnsi" w:hAnsiTheme="minorHAnsi" w:cs="Calibri"/>
          <w:szCs w:val="22"/>
        </w:rPr>
        <w:t>SO 03 – Sadové úpravy</w:t>
      </w:r>
    </w:p>
    <w:p w:rsidR="00B21E93" w:rsidRPr="00B21E93" w:rsidRDefault="00E82C3C" w:rsidP="00E82C3C">
      <w:pPr>
        <w:pStyle w:val="Normln1"/>
        <w:tabs>
          <w:tab w:val="left" w:pos="1526"/>
        </w:tabs>
        <w:ind w:left="567" w:hanging="11"/>
        <w:jc w:val="both"/>
        <w:rPr>
          <w:rFonts w:asciiTheme="minorHAnsi" w:hAnsiTheme="minorHAnsi"/>
        </w:rPr>
      </w:pPr>
      <w:r w:rsidRPr="00792A20">
        <w:rPr>
          <w:rFonts w:asciiTheme="minorHAnsi" w:hAnsiTheme="minorHAnsi"/>
        </w:rPr>
        <w:t>-  sadové úpravy (kácení keřů, výsadba nových dřevin, trvalek a cibulovin, zatravnění ploch)</w:t>
      </w:r>
      <w:r w:rsidR="00B21E93">
        <w:rPr>
          <w:rFonts w:asciiTheme="minorHAnsi" w:hAnsiTheme="minorHAnsi"/>
        </w:rPr>
        <w:t xml:space="preserve"> </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E82C3C" w:rsidRPr="00792A20">
        <w:rPr>
          <w:rFonts w:asciiTheme="minorHAnsi" w:hAnsiTheme="minorHAnsi" w:cs="Calibri"/>
          <w:sz w:val="22"/>
          <w:szCs w:val="22"/>
        </w:rPr>
        <w:t>Statutární město Ostrava, městský obvod Moravská Ostrava a</w:t>
      </w:r>
      <w:r w:rsidR="00E82C3C" w:rsidRPr="00792A20">
        <w:rPr>
          <w:rFonts w:asciiTheme="minorHAnsi" w:hAnsiTheme="minorHAnsi"/>
          <w:sz w:val="22"/>
          <w:szCs w:val="22"/>
        </w:rPr>
        <w:t xml:space="preserve"> Přívoz</w:t>
      </w:r>
      <w:r w:rsidR="00E82C3C" w:rsidRPr="00792A20">
        <w:rPr>
          <w:rFonts w:asciiTheme="minorHAnsi" w:hAnsiTheme="minorHAnsi" w:cs="Calibri"/>
          <w:sz w:val="22"/>
          <w:szCs w:val="22"/>
        </w:rPr>
        <w:t>, vnitroblok ulice Hrušovská a ulice Sadová, k. </w:t>
      </w:r>
      <w:proofErr w:type="spellStart"/>
      <w:r w:rsidR="00E82C3C" w:rsidRPr="00792A20">
        <w:rPr>
          <w:rFonts w:asciiTheme="minorHAnsi" w:hAnsiTheme="minorHAnsi" w:cs="Calibri"/>
          <w:sz w:val="22"/>
          <w:szCs w:val="22"/>
        </w:rPr>
        <w:t>ú.</w:t>
      </w:r>
      <w:proofErr w:type="spellEnd"/>
      <w:r w:rsidR="00E82C3C" w:rsidRPr="00792A20">
        <w:rPr>
          <w:rFonts w:asciiTheme="minorHAnsi" w:hAnsiTheme="minorHAnsi" w:cs="Calibri"/>
          <w:sz w:val="22"/>
          <w:szCs w:val="22"/>
        </w:rPr>
        <w:t xml:space="preserve"> Moravská Ostrava</w:t>
      </w:r>
      <w:r w:rsidR="00B21E93">
        <w:rPr>
          <w:rFonts w:asciiTheme="minorHAnsi" w:hAnsiTheme="minorHAnsi" w:cs="Calibri"/>
          <w:sz w:val="22"/>
          <w:szCs w:val="22"/>
        </w:rPr>
        <w: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8A29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8A2932"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00AA069C"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B21E93" w:rsidRDefault="00B21E9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Cena bez DPH </w:t>
      </w:r>
      <w:r w:rsidR="008A2932">
        <w:rPr>
          <w:rFonts w:ascii="Calibri" w:hAnsi="Calibri" w:cs="Calibri"/>
        </w:rPr>
        <w:tab/>
      </w:r>
      <w:r w:rsidR="008A2932">
        <w:rPr>
          <w:rFonts w:ascii="Calibri" w:hAnsi="Calibri" w:cs="Calibri"/>
        </w:rPr>
        <w:tab/>
      </w:r>
      <w:r w:rsidR="008A2932">
        <w:rPr>
          <w:rFonts w:ascii="Calibri" w:hAnsi="Calibri" w:cs="Calibri"/>
        </w:rPr>
        <w:tab/>
      </w:r>
      <w:r>
        <w:rPr>
          <w:rFonts w:ascii="Calibri" w:hAnsi="Calibri" w:cs="Calibri"/>
        </w:rPr>
        <w:t>…………………………………………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DPH v zákonné výši </w:t>
      </w:r>
      <w:r w:rsidR="008A2932">
        <w:rPr>
          <w:rFonts w:ascii="Calibri" w:hAnsi="Calibri" w:cs="Calibri"/>
        </w:rPr>
        <w:tab/>
      </w:r>
      <w:r w:rsidR="008A2932">
        <w:rPr>
          <w:rFonts w:ascii="Calibri" w:hAnsi="Calibri" w:cs="Calibri"/>
        </w:rPr>
        <w:tab/>
      </w:r>
      <w:r>
        <w:rPr>
          <w:rFonts w:ascii="Calibri" w:hAnsi="Calibri" w:cs="Calibri"/>
        </w:rPr>
        <w:t>………………………………</w:t>
      </w:r>
      <w:r w:rsidR="008A2932">
        <w:rPr>
          <w:rFonts w:ascii="Calibri" w:hAnsi="Calibri" w:cs="Calibri"/>
        </w:rPr>
        <w:t>………..</w:t>
      </w:r>
      <w:r>
        <w:rPr>
          <w:rFonts w:ascii="Calibri" w:hAnsi="Calibri" w:cs="Calibri"/>
        </w:rPr>
        <w:t xml:space="preserve"> ,- Kč</w:t>
      </w:r>
    </w:p>
    <w:p w:rsidR="00AA069C" w:rsidRPr="00195241" w:rsidRDefault="008A2932" w:rsidP="008A2932">
      <w:pPr>
        <w:keepNext/>
        <w:keepLines/>
        <w:tabs>
          <w:tab w:val="left" w:pos="3544"/>
          <w:tab w:val="right" w:leader="dot" w:pos="6521"/>
        </w:tabs>
        <w:ind w:left="567" w:hanging="567"/>
        <w:rPr>
          <w:rFonts w:ascii="Calibri" w:hAnsi="Calibri"/>
          <w:b/>
          <w:szCs w:val="22"/>
        </w:rPr>
      </w:pPr>
      <w:r>
        <w:rPr>
          <w:rFonts w:ascii="Calibri" w:hAnsi="Calibri" w:cs="Calibri"/>
        </w:rPr>
        <w:tab/>
        <w:t>C</w:t>
      </w:r>
      <w:r w:rsidR="00AA069C">
        <w:rPr>
          <w:rFonts w:ascii="Calibri" w:hAnsi="Calibri" w:cs="Calibri"/>
        </w:rPr>
        <w:t xml:space="preserve">ena </w:t>
      </w:r>
      <w:r>
        <w:rPr>
          <w:rFonts w:ascii="Calibri" w:hAnsi="Calibri" w:cs="Calibri"/>
        </w:rPr>
        <w:t xml:space="preserve">celkem </w:t>
      </w:r>
      <w:r w:rsidR="00AA069C">
        <w:rPr>
          <w:rFonts w:ascii="Calibri" w:hAnsi="Calibri" w:cs="Calibri"/>
        </w:rPr>
        <w:t xml:space="preserve">včetně DPH </w:t>
      </w:r>
      <w:r>
        <w:rPr>
          <w:rFonts w:ascii="Calibri" w:hAnsi="Calibri" w:cs="Calibri"/>
        </w:rPr>
        <w:tab/>
      </w:r>
      <w:r w:rsidR="00AA069C">
        <w:rPr>
          <w:rFonts w:ascii="Calibri" w:hAnsi="Calibri" w:cs="Calibri"/>
        </w:rPr>
        <w:t>……………………………………</w:t>
      </w:r>
      <w:proofErr w:type="gramStart"/>
      <w:r>
        <w:rPr>
          <w:rFonts w:ascii="Calibri" w:hAnsi="Calibri" w:cs="Calibri"/>
        </w:rPr>
        <w:t>…..</w:t>
      </w:r>
      <w:r w:rsidR="00AA069C">
        <w:rPr>
          <w:rFonts w:ascii="Calibri" w:hAnsi="Calibri" w:cs="Calibri"/>
        </w:rPr>
        <w:t xml:space="preserve"> ,- Kč</w:t>
      </w:r>
      <w:proofErr w:type="gramEnd"/>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008A2932">
        <w:rPr>
          <w:rFonts w:ascii="Calibri" w:hAnsi="Calibri"/>
          <w:sz w:val="22"/>
          <w:szCs w:val="22"/>
        </w:rPr>
        <w:t>článku XI bodu 11.11 této smlouvy, projektové dokumentace</w:t>
      </w:r>
      <w:r w:rsidR="005915C9">
        <w:rPr>
          <w:rFonts w:ascii="Calibri" w:hAnsi="Calibri"/>
          <w:sz w:val="22"/>
          <w:szCs w:val="22"/>
        </w:rPr>
        <w:t xml:space="preserve"> včetně slepého rozpočtu</w:t>
      </w:r>
      <w:r w:rsidR="008A2932">
        <w:rPr>
          <w:rFonts w:ascii="Calibri" w:hAnsi="Calibri"/>
          <w:sz w:val="22"/>
          <w:szCs w:val="22"/>
        </w:rPr>
        <w:t xml:space="preserv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w:t>
      </w:r>
      <w:r w:rsidR="00961AF9">
        <w:rPr>
          <w:rFonts w:ascii="Calibri" w:hAnsi="Calibri"/>
          <w:szCs w:val="22"/>
        </w:rPr>
        <w:t>tu provedení příslušného plnění, snížené o 15%.</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1  </w:t>
      </w:r>
      <w:r w:rsidR="000068D6">
        <w:rPr>
          <w:rFonts w:ascii="Calibri" w:hAnsi="Calibri" w:cs="Times New Roman"/>
          <w:sz w:val="22"/>
          <w:szCs w:val="22"/>
        </w:rPr>
        <w:tab/>
      </w:r>
      <w:r>
        <w:rPr>
          <w:rFonts w:ascii="Calibri" w:hAnsi="Calibri" w:cs="Times New Roman"/>
          <w:sz w:val="22"/>
          <w:szCs w:val="22"/>
        </w:rPr>
        <w:t>T</w:t>
      </w:r>
      <w:r w:rsidRPr="008364F5">
        <w:rPr>
          <w:rFonts w:ascii="Calibri" w:hAnsi="Calibri" w:cs="Times New Roman"/>
          <w:sz w:val="22"/>
          <w:szCs w:val="22"/>
        </w:rPr>
        <w:t>ermín provedení díla:</w:t>
      </w:r>
      <w:r>
        <w:rPr>
          <w:rFonts w:ascii="Calibri" w:hAnsi="Calibri" w:cs="Times New Roman"/>
          <w:sz w:val="22"/>
          <w:szCs w:val="22"/>
        </w:rPr>
        <w:t xml:space="preserve"> </w:t>
      </w:r>
      <w:r w:rsidR="00E82C3C">
        <w:rPr>
          <w:rFonts w:ascii="Calibri" w:hAnsi="Calibri" w:cs="Times New Roman"/>
          <w:b/>
          <w:sz w:val="22"/>
          <w:szCs w:val="22"/>
        </w:rPr>
        <w:t>4</w:t>
      </w:r>
      <w:r w:rsidR="00147335">
        <w:rPr>
          <w:rFonts w:ascii="Calibri" w:hAnsi="Calibri" w:cs="Times New Roman"/>
          <w:b/>
          <w:sz w:val="22"/>
          <w:szCs w:val="22"/>
        </w:rPr>
        <w:t>0</w:t>
      </w:r>
      <w:bookmarkStart w:id="0" w:name="_GoBack"/>
      <w:bookmarkEnd w:id="0"/>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w:t>
      </w:r>
      <w:r w:rsidR="00E82C3C">
        <w:rPr>
          <w:rFonts w:ascii="Calibri" w:hAnsi="Calibri" w:cs="Times New Roman"/>
          <w:b/>
          <w:sz w:val="22"/>
          <w:szCs w:val="22"/>
        </w:rPr>
        <w:t>od převzetí staveniště</w:t>
      </w:r>
    </w:p>
    <w:p w:rsidR="00AA069C" w:rsidRDefault="00AA069C"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sidR="000068D6">
        <w:rPr>
          <w:rFonts w:ascii="Calibri" w:hAnsi="Calibri" w:cs="Times New Roman"/>
          <w:sz w:val="22"/>
          <w:szCs w:val="22"/>
        </w:rPr>
        <w:tab/>
      </w:r>
      <w:r>
        <w:rPr>
          <w:rFonts w:ascii="Calibri" w:hAnsi="Calibri" w:cs="Times New Roman"/>
          <w:sz w:val="22"/>
          <w:szCs w:val="22"/>
        </w:rPr>
        <w:t>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w:t>
      </w:r>
      <w:proofErr w:type="gramStart"/>
      <w:r>
        <w:rPr>
          <w:rFonts w:ascii="Calibri" w:hAnsi="Calibri" w:cs="Times New Roman"/>
          <w:sz w:val="22"/>
          <w:szCs w:val="22"/>
        </w:rPr>
        <w:t>prací</w:t>
      </w:r>
      <w:r w:rsidRPr="008364F5">
        <w:rPr>
          <w:rFonts w:ascii="Calibri" w:hAnsi="Calibri" w:cs="Times New Roman"/>
          <w:sz w:val="22"/>
          <w:szCs w:val="22"/>
        </w:rPr>
        <w:t xml:space="preserve">: </w:t>
      </w:r>
      <w:r>
        <w:rPr>
          <w:rFonts w:ascii="Calibri" w:hAnsi="Calibri" w:cs="Times New Roman"/>
          <w:sz w:val="22"/>
          <w:szCs w:val="22"/>
        </w:rPr>
        <w:t xml:space="preserve"> </w:t>
      </w:r>
      <w:r w:rsidR="00E82C3C">
        <w:rPr>
          <w:rFonts w:ascii="Calibri" w:hAnsi="Calibri" w:cs="Times New Roman"/>
          <w:b/>
          <w:sz w:val="22"/>
          <w:szCs w:val="22"/>
        </w:rPr>
        <w:t>září</w:t>
      </w:r>
      <w:proofErr w:type="gramEnd"/>
      <w:r w:rsidR="0050650A">
        <w:rPr>
          <w:rFonts w:ascii="Calibri" w:hAnsi="Calibri" w:cs="Times New Roman"/>
          <w:b/>
          <w:sz w:val="22"/>
          <w:szCs w:val="22"/>
        </w:rPr>
        <w:t xml:space="preserve"> 2014</w:t>
      </w:r>
      <w:r w:rsidR="00961AF9" w:rsidRPr="00961AF9">
        <w:rPr>
          <w:rFonts w:ascii="Calibri" w:hAnsi="Calibri" w:cs="Times New Roman"/>
          <w:sz w:val="22"/>
          <w:szCs w:val="22"/>
        </w:rPr>
        <w:t>,</w:t>
      </w:r>
    </w:p>
    <w:p w:rsidR="00961AF9" w:rsidRPr="00961AF9" w:rsidRDefault="00961AF9" w:rsidP="00961AF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961AF9">
        <w:rPr>
          <w:rFonts w:ascii="Calibri" w:hAnsi="Calibri" w:cs="Times New Roman"/>
          <w:sz w:val="22"/>
          <w:szCs w:val="22"/>
        </w:rPr>
        <w:t>do 5 kalendářních dnů na základě výzvy objednatele</w:t>
      </w:r>
    </w:p>
    <w:p w:rsidR="00AA069C" w:rsidRPr="00961AF9"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w:t>
      </w:r>
      <w:r w:rsidR="008A2932">
        <w:rPr>
          <w:rFonts w:ascii="Calibri" w:hAnsi="Calibri" w:cs="Times New Roman"/>
          <w:sz w:val="22"/>
          <w:szCs w:val="22"/>
        </w:rPr>
        <w:t>ednáním dle čl. XI odstavec 11.8</w:t>
      </w:r>
      <w:r>
        <w:rPr>
          <w:rFonts w:ascii="Calibri" w:hAnsi="Calibri" w:cs="Times New Roman"/>
          <w:sz w:val="22"/>
          <w:szCs w:val="22"/>
        </w:rPr>
        <w:t xml:space="preserve">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lastRenderedPageBreak/>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Představují-li vady díla podstatné porušení smlouvy, má objednatel právo (i) na odstranění vady opravou věci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na přiměřenou slevu z kupní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dle předešlé věty. Objednatel oznámí zhotoviteli, jakou variantu si pro vyřešení jeho reklamace vybral, a to bezodkladně po objevení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V uvedeném případě je objednatel rovněž oprávněn požadovat slevu z kupní ceny nebo může od smlouvy odstoupit. Do odstranění vady nemusí objednatel </w:t>
      </w:r>
      <w:r w:rsidR="008C39E8">
        <w:rPr>
          <w:rFonts w:ascii="Calibri" w:hAnsi="Calibri"/>
          <w:szCs w:val="22"/>
        </w:rPr>
        <w:t>platit zhotoviteli část ceny díla odhadem přiměřeně odpovídající jeho právu na slevu.</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lastRenderedPageBreak/>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05F21"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05F21" w:rsidRPr="00466ED2"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 xml:space="preserve">Vykáže-li dílo vady, je vzhledem k tomu, co sám dodal, zavázán se zhotovitelem společně a nerozdílně i subdodavatel zhotovitele, ledaže prokáže, že vadu způsobilo výslovné rozhodnutí </w:t>
      </w:r>
      <w:r w:rsidR="008A2932">
        <w:rPr>
          <w:rFonts w:ascii="Calibri" w:hAnsi="Calibri" w:cs="Times New Roman"/>
          <w:sz w:val="22"/>
          <w:szCs w:val="22"/>
        </w:rPr>
        <w:t>zhotovitele</w:t>
      </w:r>
      <w:r>
        <w:rPr>
          <w:rFonts w:ascii="Calibri" w:hAnsi="Calibri" w:cs="Times New Roman"/>
          <w:sz w:val="22"/>
          <w:szCs w:val="22"/>
        </w:rPr>
        <w:t xml:space="preserve"> nebo stavebního dozoru a ten, kdo dodal projektovou a stavební dokumentaci, ledaže prokáže, že vadu nezpůsobila chyba v projektové dokumentaci a ten, kdo prováděl stavební dozor, ledaže prokáže, že vadu sám nezavinil.</w:t>
      </w:r>
    </w:p>
    <w:p w:rsidR="00532EE5" w:rsidRDefault="00532EE5"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w:t>
      </w:r>
      <w:r w:rsidR="00961AF9">
        <w:rPr>
          <w:rFonts w:ascii="Calibri" w:hAnsi="Calibri" w:cs="Times New Roman"/>
          <w:sz w:val="22"/>
          <w:szCs w:val="22"/>
        </w:rPr>
        <w:t>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Pr="00EA6CA4">
        <w:rPr>
          <w:rFonts w:ascii="Calibri" w:hAnsi="Calibri" w:cs="Times New Roman"/>
          <w:sz w:val="22"/>
          <w:szCs w:val="22"/>
        </w:rPr>
        <w:lastRenderedPageBreak/>
        <w:t xml:space="preserve">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w:t>
      </w:r>
      <w:r w:rsidR="00961AF9">
        <w:rPr>
          <w:rFonts w:ascii="Calibri" w:hAnsi="Calibri" w:cs="Times New Roman"/>
          <w:sz w:val="22"/>
          <w:szCs w:val="22"/>
        </w:rPr>
        <w:t>tři</w:t>
      </w:r>
      <w:r w:rsidRPr="00EA6CA4">
        <w:rPr>
          <w:rFonts w:ascii="Calibri" w:hAnsi="Calibri" w:cs="Times New Roman"/>
          <w:sz w:val="22"/>
          <w:szCs w:val="22"/>
        </w:rPr>
        <w:t xml:space="preserve"> (</w:t>
      </w:r>
      <w:r w:rsidR="00961AF9">
        <w:rPr>
          <w:rFonts w:ascii="Calibri" w:hAnsi="Calibri" w:cs="Times New Roman"/>
          <w:sz w:val="22"/>
          <w:szCs w:val="22"/>
        </w:rPr>
        <w:t>3</w:t>
      </w:r>
      <w:r w:rsidRPr="00EA6CA4">
        <w:rPr>
          <w:rFonts w:ascii="Calibri" w:hAnsi="Calibri" w:cs="Times New Roman"/>
          <w:sz w:val="22"/>
          <w:szCs w:val="22"/>
        </w:rPr>
        <w:t>) dn</w:t>
      </w:r>
      <w:r w:rsidR="00961AF9">
        <w:rPr>
          <w:rFonts w:ascii="Calibri" w:hAnsi="Calibri" w:cs="Times New Roman"/>
          <w:sz w:val="22"/>
          <w:szCs w:val="22"/>
        </w:rPr>
        <w:t>y</w:t>
      </w:r>
      <w:r w:rsidRPr="00EA6CA4">
        <w:rPr>
          <w:rFonts w:ascii="Calibri" w:hAnsi="Calibri" w:cs="Times New Roman"/>
          <w:sz w:val="22"/>
          <w:szCs w:val="22"/>
        </w:rPr>
        <w:t xml:space="preserve">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dokumentace skutečného provedení díla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geodetické zaměření skutečného provedení stavby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atesty použitých materiálů, prohlášení o shodě, atd.,</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potvrzení o likvidaci odpadů včetně doložení vážních lístků,</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veškeré doklady o zkouškách, revizích atd. dle platných norem a předpisů nutné k přejímce a kolaudaci stavby včetně zajištění příkazu k trvalému dopravnímu značení,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geometrický plán pro zápis do katastru nemovitostí,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stavební deník v originále,</w:t>
      </w:r>
    </w:p>
    <w:p w:rsidR="00AA069C" w:rsidRPr="005125F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celkové finanční vyúčtování stavby.</w:t>
      </w:r>
    </w:p>
    <w:p w:rsidR="00AA069C"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lastRenderedPageBreak/>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lastRenderedPageBreak/>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sidR="005915C9">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B82D0E" w:rsidRDefault="00AA069C"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CB5244" w:rsidRPr="003F1973" w:rsidRDefault="00CB5244"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Pr="00B82D0E">
        <w:rPr>
          <w:rFonts w:asciiTheme="minorHAnsi" w:hAnsiTheme="minorHAns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lastRenderedPageBreak/>
        <w:t>za každý případ a započ</w:t>
      </w:r>
      <w:r w:rsidR="00B82D0E">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sidR="00B82D0E">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E82C3C" w:rsidRPr="00532EE5" w:rsidRDefault="00E82C3C" w:rsidP="00E82C3C">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sidR="005125F4">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B82D0E">
        <w:rPr>
          <w:rFonts w:ascii="Calibri" w:hAnsi="Calibri" w:cs="Times New Roman"/>
          <w:sz w:val="22"/>
          <w:szCs w:val="22"/>
        </w:rPr>
        <w:t xml:space="preserve">m pojistného plnění ve výši </w:t>
      </w:r>
      <w:r w:rsidR="00E82C3C">
        <w:rPr>
          <w:rFonts w:ascii="Calibri" w:hAnsi="Calibri" w:cs="Times New Roman"/>
          <w:sz w:val="22"/>
          <w:szCs w:val="22"/>
        </w:rPr>
        <w:t>3.600</w:t>
      </w:r>
      <w:r w:rsidR="000068D6">
        <w:rPr>
          <w:rFonts w:ascii="Calibri" w:hAnsi="Calibri" w:cs="Times New Roman"/>
          <w:sz w:val="22"/>
          <w:szCs w:val="22"/>
        </w:rPr>
        <w:t>.000,-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B82D0E">
        <w:rPr>
          <w:rFonts w:ascii="Calibri" w:hAnsi="Calibri" w:cs="Times New Roman"/>
          <w:sz w:val="22"/>
          <w:szCs w:val="22"/>
        </w:rPr>
        <w:t>89/2012 Sb.</w:t>
      </w:r>
      <w:r w:rsidRPr="003F1973">
        <w:rPr>
          <w:rFonts w:ascii="Calibri" w:hAnsi="Calibri" w:cs="Times New Roman"/>
          <w:sz w:val="22"/>
          <w:szCs w:val="22"/>
        </w:rPr>
        <w:t xml:space="preserve"> </w:t>
      </w:r>
      <w:r w:rsidR="00B82D0E">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5915C9" w:rsidRPr="005915C9" w:rsidRDefault="005915C9"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B82D0E"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00AA069C" w:rsidRPr="00F574E8">
        <w:rPr>
          <w:rFonts w:ascii="Calibri" w:hAnsi="Calibri"/>
          <w:szCs w:val="22"/>
        </w:rPr>
        <w:t xml:space="preserve">S ohledem na skutečnost, že plnění této smlouvy je podmíněno </w:t>
      </w:r>
      <w:r w:rsidR="00AA069C">
        <w:rPr>
          <w:rFonts w:ascii="Calibri" w:hAnsi="Calibri"/>
          <w:szCs w:val="22"/>
        </w:rPr>
        <w:t xml:space="preserve">schválením zaplacení ceny díla </w:t>
      </w:r>
      <w:r w:rsidR="00AA069C" w:rsidRPr="00F574E8">
        <w:rPr>
          <w:rFonts w:ascii="Calibri" w:hAnsi="Calibri"/>
          <w:szCs w:val="22"/>
        </w:rPr>
        <w:t>z finančních prostředků z rozpočtu statutárního města Ostr</w:t>
      </w:r>
      <w:r w:rsidR="00AA069C">
        <w:rPr>
          <w:rFonts w:ascii="Calibri" w:hAnsi="Calibri"/>
          <w:szCs w:val="22"/>
        </w:rPr>
        <w:t>avy, městského obvodu Moravská</w:t>
      </w:r>
      <w:r>
        <w:rPr>
          <w:rFonts w:ascii="Calibri" w:hAnsi="Calibri"/>
          <w:szCs w:val="22"/>
        </w:rPr>
        <w:t xml:space="preserve"> Ostrava a Přívoz pro rok 2014</w:t>
      </w:r>
      <w:r w:rsidR="00AA069C" w:rsidRPr="00F574E8">
        <w:rPr>
          <w:rFonts w:ascii="Calibri" w:hAnsi="Calibri"/>
          <w:szCs w:val="22"/>
        </w:rPr>
        <w:t>, sjednávají smluvní strany v </w:t>
      </w:r>
      <w:r w:rsidR="00AA069C">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00AA069C" w:rsidRPr="00F574E8">
        <w:rPr>
          <w:rFonts w:ascii="Calibri" w:hAnsi="Calibri"/>
          <w:szCs w:val="22"/>
        </w:rPr>
        <w:t xml:space="preserve">, odkládací </w:t>
      </w:r>
      <w:r w:rsidR="00AA069C">
        <w:rPr>
          <w:rFonts w:ascii="Calibri" w:hAnsi="Calibri"/>
          <w:szCs w:val="22"/>
        </w:rPr>
        <w:t xml:space="preserve">podmínku nabytí účinnosti této </w:t>
      </w:r>
      <w:r w:rsidR="00AA069C" w:rsidRPr="00F574E8">
        <w:rPr>
          <w:rFonts w:ascii="Calibri" w:hAnsi="Calibri"/>
          <w:szCs w:val="22"/>
        </w:rPr>
        <w:t>smlouvy. Tato smlouva nabude účinnosti dnem schválení finančních prostředků na realizaci této smlouvy v plné výši v rozpočtu statutárního města Ostra</w:t>
      </w:r>
      <w:r w:rsidR="00AA069C">
        <w:rPr>
          <w:rFonts w:ascii="Calibri" w:hAnsi="Calibri"/>
          <w:szCs w:val="22"/>
        </w:rPr>
        <w:t xml:space="preserve">vy, městského obvodu Moravská </w:t>
      </w:r>
      <w:r>
        <w:rPr>
          <w:rFonts w:ascii="Calibri" w:hAnsi="Calibri"/>
          <w:szCs w:val="22"/>
        </w:rPr>
        <w:t>Ostrava a Přívoz pro rok 2014</w:t>
      </w:r>
      <w:r w:rsidR="00AA069C" w:rsidRPr="00F574E8">
        <w:rPr>
          <w:rFonts w:ascii="Calibri" w:hAnsi="Calibri"/>
          <w:szCs w:val="22"/>
        </w:rPr>
        <w:t>. O této skutečnosti je objednatel</w:t>
      </w:r>
      <w:r w:rsidR="00AA069C">
        <w:rPr>
          <w:rFonts w:ascii="Calibri" w:hAnsi="Calibri"/>
          <w:szCs w:val="22"/>
        </w:rPr>
        <w:t xml:space="preserve"> povinen informovat zhotovitele </w:t>
      </w:r>
      <w:r w:rsidR="00AA069C" w:rsidRPr="00F574E8">
        <w:rPr>
          <w:rFonts w:ascii="Calibri" w:hAnsi="Calibri"/>
          <w:szCs w:val="22"/>
        </w:rPr>
        <w:t>bezodkladně. Za objednatele je oprávněn toto oznámení vyhotovit a svým podpisem potvrdit</w:t>
      </w:r>
      <w:r w:rsidR="00AA069C">
        <w:rPr>
          <w:rFonts w:ascii="Calibri" w:hAnsi="Calibri"/>
          <w:szCs w:val="22"/>
        </w:rPr>
        <w:t xml:space="preserve"> </w:t>
      </w:r>
      <w:r w:rsidR="00AA069C"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A069C" w:rsidRPr="005A6D47"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názvem „</w:t>
      </w:r>
      <w:r w:rsidR="00E82C3C" w:rsidRPr="00792A20">
        <w:rPr>
          <w:rFonts w:asciiTheme="minorHAnsi" w:hAnsiTheme="minorHAnsi" w:cs="Calibri"/>
          <w:b/>
          <w:sz w:val="22"/>
          <w:szCs w:val="22"/>
        </w:rPr>
        <w:t>Rekonstrukce vnitrobloku Hrušovská – Sadová</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obě smluvní strany berou na vědomí.</w:t>
      </w:r>
      <w:r w:rsidR="00AA069C" w:rsidRPr="005A6D47">
        <w:rPr>
          <w:rFonts w:ascii="Times New Roman" w:hAnsi="Times New Roman" w:cs="Times New Roman"/>
          <w:sz w:val="22"/>
          <w:szCs w:val="22"/>
        </w:rPr>
        <w:t xml:space="preserve"> </w:t>
      </w:r>
    </w:p>
    <w:p w:rsidR="00AA069C" w:rsidRDefault="00AA069C" w:rsidP="00BB4B6F"/>
    <w:p w:rsidR="00AA069C" w:rsidRPr="00532EE5" w:rsidRDefault="00AA069C" w:rsidP="00532EE5">
      <w:pPr>
        <w:rPr>
          <w:rFonts w:ascii="Calibri" w:hAnsi="Calibri"/>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AA069C" w:rsidRPr="008E58A9" w:rsidRDefault="00AA069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961AF9" w:rsidRDefault="00961AF9" w:rsidP="008E58A9">
      <w:pPr>
        <w:ind w:left="0" w:firstLine="0"/>
        <w:outlineLvl w:val="0"/>
        <w:rPr>
          <w:rFonts w:ascii="Calibri" w:hAnsi="Calibri"/>
          <w:szCs w:val="22"/>
        </w:rPr>
      </w:pP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532EE5" w:rsidRDefault="00532EE5"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961AF9" w:rsidRDefault="00961AF9"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532EE5" w:rsidRDefault="00AA069C" w:rsidP="00532EE5">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w:t>
      </w:r>
      <w:r w:rsidR="00532EE5">
        <w:rPr>
          <w:rFonts w:ascii="Calibri" w:hAnsi="Calibri"/>
          <w:szCs w:val="22"/>
        </w:rPr>
        <w:t>,</w:t>
      </w:r>
      <w:r w:rsidRPr="008E58A9">
        <w:rPr>
          <w:rFonts w:ascii="Calibri" w:hAnsi="Calibri"/>
          <w:szCs w:val="22"/>
        </w:rPr>
        <w:t xml:space="preserve"> </w:t>
      </w:r>
      <w:proofErr w:type="gramStart"/>
      <w:r w:rsidRPr="008E58A9">
        <w:rPr>
          <w:rFonts w:ascii="Calibri" w:hAnsi="Calibri"/>
          <w:szCs w:val="22"/>
        </w:rPr>
        <w:t>jméno,  příjmení</w:t>
      </w:r>
      <w:proofErr w:type="gramEnd"/>
      <w:r w:rsidR="00532EE5">
        <w:rPr>
          <w:rFonts w:ascii="Calibri" w:hAnsi="Calibri"/>
          <w:szCs w:val="22"/>
        </w:rPr>
        <w:t>, funkce</w:t>
      </w:r>
      <w:r>
        <w:tab/>
      </w:r>
    </w:p>
    <w:sectPr w:rsidR="00AA069C" w:rsidRPr="00532EE5" w:rsidSect="00532EE5">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E1" w:rsidRDefault="005C52E1">
      <w:r>
        <w:separator/>
      </w:r>
    </w:p>
    <w:p w:rsidR="005C52E1" w:rsidRDefault="005C52E1"/>
    <w:p w:rsidR="005C52E1" w:rsidRDefault="005C52E1" w:rsidP="003A4FAD"/>
    <w:p w:rsidR="005C52E1" w:rsidRDefault="005C52E1"/>
    <w:p w:rsidR="005C52E1" w:rsidRDefault="005C52E1"/>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p w:rsidR="005C52E1" w:rsidRDefault="005C52E1"/>
    <w:p w:rsidR="005C52E1" w:rsidRDefault="005C52E1"/>
    <w:p w:rsidR="005C52E1" w:rsidRDefault="005C52E1" w:rsidP="00F75207"/>
    <w:p w:rsidR="005C52E1" w:rsidRDefault="005C52E1" w:rsidP="00F75207"/>
    <w:p w:rsidR="005C52E1" w:rsidRDefault="005C52E1"/>
    <w:p w:rsidR="005C52E1" w:rsidRDefault="005C52E1"/>
    <w:p w:rsidR="005C52E1" w:rsidRDefault="005C52E1"/>
    <w:p w:rsidR="005C52E1" w:rsidRDefault="005C52E1" w:rsidP="008A2932"/>
  </w:endnote>
  <w:endnote w:type="continuationSeparator" w:id="0">
    <w:p w:rsidR="005C52E1" w:rsidRDefault="005C52E1">
      <w:r>
        <w:continuationSeparator/>
      </w:r>
    </w:p>
    <w:p w:rsidR="005C52E1" w:rsidRDefault="005C52E1"/>
    <w:p w:rsidR="005C52E1" w:rsidRDefault="005C52E1" w:rsidP="003A4FAD"/>
    <w:p w:rsidR="005C52E1" w:rsidRDefault="005C52E1"/>
    <w:p w:rsidR="005C52E1" w:rsidRDefault="005C52E1"/>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p w:rsidR="005C52E1" w:rsidRDefault="005C52E1"/>
    <w:p w:rsidR="005C52E1" w:rsidRDefault="005C52E1"/>
    <w:p w:rsidR="005C52E1" w:rsidRDefault="005C52E1" w:rsidP="00F75207"/>
    <w:p w:rsidR="005C52E1" w:rsidRDefault="005C52E1" w:rsidP="00F75207"/>
    <w:p w:rsidR="005C52E1" w:rsidRDefault="005C52E1"/>
    <w:p w:rsidR="005C52E1" w:rsidRDefault="005C52E1"/>
    <w:p w:rsidR="005C52E1" w:rsidRDefault="005C52E1"/>
    <w:p w:rsidR="005C52E1" w:rsidRDefault="005C52E1" w:rsidP="008A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83496A" w:rsidP="00BB4B6F">
    <w:pPr>
      <w:pStyle w:val="Zpat"/>
      <w:tabs>
        <w:tab w:val="clear" w:pos="4536"/>
        <w:tab w:val="clear" w:pos="9072"/>
        <w:tab w:val="left" w:pos="1418"/>
        <w:tab w:val="center" w:pos="14220"/>
      </w:tabs>
      <w:spacing w:line="240" w:lineRule="exact"/>
      <w:rPr>
        <w:rFonts w:asciiTheme="minorHAnsi" w:hAnsiTheme="minorHAnsi" w:cs="Calibri"/>
        <w:sz w:val="18"/>
        <w:szCs w:val="18"/>
      </w:rPr>
    </w:pPr>
    <w:r>
      <w:rPr>
        <w:noProof/>
      </w:rPr>
      <w:drawing>
        <wp:anchor distT="0" distB="0" distL="114300" distR="114300" simplePos="0" relativeHeight="251660288" behindDoc="1" locked="0" layoutInCell="1" allowOverlap="1" wp14:anchorId="548A8A0D" wp14:editId="61DF03C4">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001E0B4D"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1E0B4D" w:rsidRPr="005E4F1F">
      <w:rPr>
        <w:rStyle w:val="slostrnky"/>
        <w:rFonts w:cs="Arial"/>
        <w:b w:val="0"/>
        <w:kern w:val="24"/>
      </w:rPr>
      <w:fldChar w:fldCharType="separate"/>
    </w:r>
    <w:r w:rsidR="002E4F70">
      <w:rPr>
        <w:rStyle w:val="slostrnky"/>
        <w:rFonts w:cs="Arial"/>
        <w:b w:val="0"/>
        <w:noProof/>
        <w:kern w:val="24"/>
      </w:rPr>
      <w:t>13</w:t>
    </w:r>
    <w:r w:rsidR="001E0B4D" w:rsidRPr="005E4F1F">
      <w:rPr>
        <w:rStyle w:val="slostrnky"/>
        <w:rFonts w:cs="Arial"/>
        <w:b w:val="0"/>
        <w:kern w:val="24"/>
      </w:rPr>
      <w:fldChar w:fldCharType="end"/>
    </w:r>
    <w:r w:rsidR="00AA069C" w:rsidRPr="005E4F1F">
      <w:rPr>
        <w:rStyle w:val="slostrnky"/>
        <w:rFonts w:cs="Arial"/>
        <w:b w:val="0"/>
        <w:kern w:val="24"/>
      </w:rPr>
      <w:t>/</w:t>
    </w:r>
    <w:r w:rsidR="001E0B4D"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1E0B4D" w:rsidRPr="005E4F1F">
      <w:rPr>
        <w:rStyle w:val="slostrnky"/>
        <w:rFonts w:cs="Arial"/>
        <w:b w:val="0"/>
        <w:kern w:val="24"/>
      </w:rPr>
      <w:fldChar w:fldCharType="separate"/>
    </w:r>
    <w:r w:rsidR="002E4F70">
      <w:rPr>
        <w:rStyle w:val="slostrnky"/>
        <w:rFonts w:cs="Arial"/>
        <w:b w:val="0"/>
        <w:noProof/>
        <w:kern w:val="24"/>
      </w:rPr>
      <w:t>13</w:t>
    </w:r>
    <w:r w:rsidR="001E0B4D"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w:t>
    </w:r>
    <w:r w:rsidR="00AA069C" w:rsidRPr="00B21E93">
      <w:rPr>
        <w:rStyle w:val="slostrnky"/>
        <w:rFonts w:cs="Arial"/>
        <w:b w:val="0"/>
        <w:kern w:val="24"/>
        <w:sz w:val="18"/>
        <w:szCs w:val="18"/>
      </w:rPr>
      <w:t xml:space="preserve">– </w:t>
    </w:r>
    <w:r w:rsidR="00AA069C" w:rsidRPr="00B21E93">
      <w:rPr>
        <w:rStyle w:val="slostrnky"/>
        <w:rFonts w:asciiTheme="minorHAnsi" w:hAnsiTheme="minorHAnsi" w:cs="Arial"/>
        <w:kern w:val="24"/>
        <w:sz w:val="18"/>
        <w:szCs w:val="18"/>
      </w:rPr>
      <w:t>„</w:t>
    </w:r>
    <w:r w:rsidR="00E82C3C" w:rsidRPr="00E82C3C">
      <w:rPr>
        <w:rFonts w:asciiTheme="minorHAnsi" w:hAnsiTheme="minorHAnsi" w:cs="Calibri"/>
        <w:b/>
        <w:sz w:val="18"/>
        <w:szCs w:val="18"/>
      </w:rPr>
      <w:t>Rekonstrukce vnitrobloku Hrušovská – Sadová</w:t>
    </w:r>
    <w:r w:rsidR="00AA069C" w:rsidRPr="00B21E93">
      <w:rPr>
        <w:rFonts w:asciiTheme="minorHAnsi" w:hAnsiTheme="minorHAnsi" w:cs="Calibri"/>
        <w:sz w:val="18"/>
        <w:szCs w:val="18"/>
      </w:rPr>
      <w:t>“</w:t>
    </w:r>
  </w:p>
  <w:p w:rsidR="00961AF9" w:rsidRPr="0009194B" w:rsidRDefault="00961AF9" w:rsidP="00BB4B6F">
    <w:pPr>
      <w:pStyle w:val="Zpat"/>
      <w:tabs>
        <w:tab w:val="clear" w:pos="4536"/>
        <w:tab w:val="clear" w:pos="9072"/>
        <w:tab w:val="left" w:pos="1418"/>
        <w:tab w:val="center" w:pos="14220"/>
      </w:tabs>
      <w:spacing w:line="240" w:lineRule="exact"/>
      <w:rPr>
        <w:kern w:val="24"/>
        <w:szCs w:val="16"/>
      </w:rPr>
    </w:pPr>
  </w:p>
  <w:p w:rsidR="00FF7098" w:rsidRDefault="00FF7098" w:rsidP="00961A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5915C9" w:rsidRDefault="00532EE5" w:rsidP="00532EE5">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6EDF66C8" wp14:editId="0B7709C9">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001E0B4D" w:rsidRPr="005E4F1F">
      <w:rPr>
        <w:rStyle w:val="slostrnky"/>
        <w:rFonts w:cs="Arial"/>
        <w:b w:val="0"/>
        <w:kern w:val="24"/>
      </w:rPr>
      <w:fldChar w:fldCharType="begin"/>
    </w:r>
    <w:r w:rsidRPr="005E4F1F">
      <w:rPr>
        <w:rStyle w:val="slostrnky"/>
        <w:rFonts w:cs="Arial"/>
        <w:b w:val="0"/>
        <w:kern w:val="24"/>
      </w:rPr>
      <w:instrText xml:space="preserve"> PAGE </w:instrText>
    </w:r>
    <w:r w:rsidR="001E0B4D" w:rsidRPr="005E4F1F">
      <w:rPr>
        <w:rStyle w:val="slostrnky"/>
        <w:rFonts w:cs="Arial"/>
        <w:b w:val="0"/>
        <w:kern w:val="24"/>
      </w:rPr>
      <w:fldChar w:fldCharType="separate"/>
    </w:r>
    <w:r w:rsidR="002E4F70">
      <w:rPr>
        <w:rStyle w:val="slostrnky"/>
        <w:rFonts w:cs="Arial"/>
        <w:b w:val="0"/>
        <w:noProof/>
        <w:kern w:val="24"/>
      </w:rPr>
      <w:t>1</w:t>
    </w:r>
    <w:r w:rsidR="001E0B4D" w:rsidRPr="005E4F1F">
      <w:rPr>
        <w:rStyle w:val="slostrnky"/>
        <w:rFonts w:cs="Arial"/>
        <w:b w:val="0"/>
        <w:kern w:val="24"/>
      </w:rPr>
      <w:fldChar w:fldCharType="end"/>
    </w:r>
    <w:r w:rsidRPr="005E4F1F">
      <w:rPr>
        <w:rStyle w:val="slostrnky"/>
        <w:rFonts w:cs="Arial"/>
        <w:b w:val="0"/>
        <w:kern w:val="24"/>
      </w:rPr>
      <w:t>/</w:t>
    </w:r>
    <w:r w:rsidR="001E0B4D" w:rsidRPr="005E4F1F">
      <w:rPr>
        <w:rStyle w:val="slostrnky"/>
        <w:rFonts w:cs="Arial"/>
        <w:b w:val="0"/>
        <w:kern w:val="24"/>
      </w:rPr>
      <w:fldChar w:fldCharType="begin"/>
    </w:r>
    <w:r w:rsidRPr="005E4F1F">
      <w:rPr>
        <w:rStyle w:val="slostrnky"/>
        <w:rFonts w:cs="Arial"/>
        <w:b w:val="0"/>
        <w:kern w:val="24"/>
      </w:rPr>
      <w:instrText xml:space="preserve"> NUMPAGES </w:instrText>
    </w:r>
    <w:r w:rsidR="001E0B4D" w:rsidRPr="005E4F1F">
      <w:rPr>
        <w:rStyle w:val="slostrnky"/>
        <w:rFonts w:cs="Arial"/>
        <w:b w:val="0"/>
        <w:kern w:val="24"/>
      </w:rPr>
      <w:fldChar w:fldCharType="separate"/>
    </w:r>
    <w:r w:rsidR="002E4F70">
      <w:rPr>
        <w:rStyle w:val="slostrnky"/>
        <w:rFonts w:cs="Arial"/>
        <w:b w:val="0"/>
        <w:noProof/>
        <w:kern w:val="24"/>
      </w:rPr>
      <w:t>13</w:t>
    </w:r>
    <w:r w:rsidR="001E0B4D"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sidRPr="005915C9">
      <w:rPr>
        <w:rStyle w:val="slostrnky"/>
        <w:rFonts w:cs="Arial"/>
        <w:b w:val="0"/>
        <w:kern w:val="24"/>
        <w:sz w:val="18"/>
        <w:szCs w:val="18"/>
      </w:rPr>
      <w:t xml:space="preserve">– </w:t>
    </w:r>
    <w:r w:rsidRPr="00E82C3C">
      <w:rPr>
        <w:rStyle w:val="slostrnky"/>
        <w:rFonts w:ascii="Calibri" w:hAnsi="Calibri" w:cs="Arial"/>
        <w:kern w:val="24"/>
        <w:sz w:val="18"/>
        <w:szCs w:val="18"/>
      </w:rPr>
      <w:t>„</w:t>
    </w:r>
    <w:r w:rsidR="00E82C3C" w:rsidRPr="00E82C3C">
      <w:rPr>
        <w:rFonts w:asciiTheme="minorHAnsi" w:hAnsiTheme="minorHAnsi" w:cs="Calibri"/>
        <w:b/>
        <w:sz w:val="18"/>
        <w:szCs w:val="18"/>
      </w:rPr>
      <w:t>Rekonstrukce vnitrobloku Hrušovská – Sadová</w:t>
    </w:r>
    <w:r w:rsidRPr="00E82C3C">
      <w:rPr>
        <w:rFonts w:ascii="Calibri" w:hAnsi="Calibri" w:cs="Calibri"/>
        <w:sz w:val="18"/>
        <w:szCs w:val="18"/>
      </w:rPr>
      <w:t>“</w:t>
    </w:r>
  </w:p>
  <w:p w:rsidR="00532EE5" w:rsidRDefault="00532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E1" w:rsidRDefault="005C52E1">
      <w:r>
        <w:separator/>
      </w:r>
    </w:p>
    <w:p w:rsidR="005C52E1" w:rsidRDefault="005C52E1"/>
    <w:p w:rsidR="005C52E1" w:rsidRDefault="005C52E1" w:rsidP="003A4FAD"/>
    <w:p w:rsidR="005C52E1" w:rsidRDefault="005C52E1"/>
    <w:p w:rsidR="005C52E1" w:rsidRDefault="005C52E1"/>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p w:rsidR="005C52E1" w:rsidRDefault="005C52E1"/>
    <w:p w:rsidR="005C52E1" w:rsidRDefault="005C52E1"/>
    <w:p w:rsidR="005C52E1" w:rsidRDefault="005C52E1" w:rsidP="00F75207"/>
    <w:p w:rsidR="005C52E1" w:rsidRDefault="005C52E1" w:rsidP="00F75207"/>
    <w:p w:rsidR="005C52E1" w:rsidRDefault="005C52E1"/>
    <w:p w:rsidR="005C52E1" w:rsidRDefault="005C52E1"/>
    <w:p w:rsidR="005C52E1" w:rsidRDefault="005C52E1"/>
    <w:p w:rsidR="005C52E1" w:rsidRDefault="005C52E1" w:rsidP="008A2932"/>
  </w:footnote>
  <w:footnote w:type="continuationSeparator" w:id="0">
    <w:p w:rsidR="005C52E1" w:rsidRDefault="005C52E1">
      <w:r>
        <w:continuationSeparator/>
      </w:r>
    </w:p>
    <w:p w:rsidR="005C52E1" w:rsidRDefault="005C52E1"/>
    <w:p w:rsidR="005C52E1" w:rsidRDefault="005C52E1" w:rsidP="003A4FAD"/>
    <w:p w:rsidR="005C52E1" w:rsidRDefault="005C52E1"/>
    <w:p w:rsidR="005C52E1" w:rsidRDefault="005C52E1"/>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rsidP="00911049"/>
    <w:p w:rsidR="005C52E1" w:rsidRDefault="005C52E1"/>
    <w:p w:rsidR="005C52E1" w:rsidRDefault="005C52E1"/>
    <w:p w:rsidR="005C52E1" w:rsidRDefault="005C52E1"/>
    <w:p w:rsidR="005C52E1" w:rsidRDefault="005C52E1" w:rsidP="00F75207"/>
    <w:p w:rsidR="005C52E1" w:rsidRDefault="005C52E1" w:rsidP="00F75207"/>
    <w:p w:rsidR="005C52E1" w:rsidRDefault="005C52E1"/>
    <w:p w:rsidR="005C52E1" w:rsidRDefault="005C52E1"/>
    <w:p w:rsidR="005C52E1" w:rsidRDefault="005C52E1"/>
    <w:p w:rsidR="005C52E1" w:rsidRDefault="005C52E1" w:rsidP="008A2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p w:rsidR="00B82D0E" w:rsidRDefault="00B82D0E"/>
  <w:p w:rsidR="00B82D0E" w:rsidRDefault="00B82D0E" w:rsidP="008A29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24368F">
      <w:rPr>
        <w:b/>
      </w:rPr>
      <w:t>4</w:t>
    </w:r>
    <w:r w:rsidRPr="0054037B">
      <w:rPr>
        <w:b/>
      </w:rPr>
      <w:t>/OIMH</w:t>
    </w:r>
    <w:proofErr w:type="gramEnd"/>
  </w:p>
  <w:p w:rsidR="00AA069C" w:rsidRDefault="00AA069C">
    <w:pPr>
      <w:pStyle w:val="Zhlav"/>
    </w:pPr>
    <w:r>
      <w:rPr>
        <w:b/>
      </w:rPr>
      <w:t>ú</w:t>
    </w:r>
    <w:r w:rsidRPr="0054037B">
      <w:rPr>
        <w:b/>
      </w:rPr>
      <w:t>řad městského obvodu</w:t>
    </w:r>
  </w:p>
  <w:p w:rsidR="00AA069C" w:rsidRDefault="00AA0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CF26AA" w:rsidRDefault="00532EE5"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532EE5" w:rsidRPr="0054037B" w:rsidRDefault="00532EE5" w:rsidP="00532EE5">
    <w:pPr>
      <w:pStyle w:val="Zhlav"/>
      <w:rPr>
        <w:b/>
      </w:rPr>
    </w:pPr>
    <w:r>
      <w:rPr>
        <w:b/>
      </w:rPr>
      <w:t>m</w:t>
    </w:r>
    <w:r w:rsidRPr="0054037B">
      <w:rPr>
        <w:b/>
      </w:rPr>
      <w:t>ěstský obvod Moravská Ostrava a Přívoz</w:t>
    </w:r>
  </w:p>
  <w:p w:rsidR="00532EE5" w:rsidRPr="0054037B" w:rsidRDefault="00532EE5" w:rsidP="00532EE5">
    <w:pPr>
      <w:pStyle w:val="Zhlav"/>
      <w:rPr>
        <w:b/>
      </w:rPr>
    </w:pPr>
    <w:r>
      <w:rPr>
        <w:b/>
      </w:rPr>
      <w:t>ú</w:t>
    </w:r>
    <w:r w:rsidRPr="0054037B">
      <w:rPr>
        <w:b/>
      </w:rPr>
      <w:t>řad městského obvodu</w:t>
    </w:r>
  </w:p>
  <w:p w:rsidR="00532EE5" w:rsidRDefault="0053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1"/>
  </w:num>
  <w:num w:numId="5">
    <w:abstractNumId w:val="6"/>
  </w:num>
  <w:num w:numId="6">
    <w:abstractNumId w:val="2"/>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068D6"/>
    <w:rsid w:val="00010C60"/>
    <w:rsid w:val="0003736D"/>
    <w:rsid w:val="00040990"/>
    <w:rsid w:val="0004541F"/>
    <w:rsid w:val="00045D2F"/>
    <w:rsid w:val="00047368"/>
    <w:rsid w:val="00055F36"/>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47335"/>
    <w:rsid w:val="00154270"/>
    <w:rsid w:val="001575D1"/>
    <w:rsid w:val="00164B77"/>
    <w:rsid w:val="00180E67"/>
    <w:rsid w:val="00190DD1"/>
    <w:rsid w:val="001918EB"/>
    <w:rsid w:val="001926EF"/>
    <w:rsid w:val="00195241"/>
    <w:rsid w:val="001B2A8F"/>
    <w:rsid w:val="001B37A7"/>
    <w:rsid w:val="001D6535"/>
    <w:rsid w:val="001E0B4D"/>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4F70"/>
    <w:rsid w:val="002E73B1"/>
    <w:rsid w:val="002E7AF7"/>
    <w:rsid w:val="002F6C49"/>
    <w:rsid w:val="00314676"/>
    <w:rsid w:val="0032061D"/>
    <w:rsid w:val="0032235B"/>
    <w:rsid w:val="00322710"/>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6ED2"/>
    <w:rsid w:val="00490B8D"/>
    <w:rsid w:val="004A3318"/>
    <w:rsid w:val="004C0CD4"/>
    <w:rsid w:val="004C2B74"/>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52E1"/>
    <w:rsid w:val="005C7661"/>
    <w:rsid w:val="005C771A"/>
    <w:rsid w:val="005E3E7C"/>
    <w:rsid w:val="005E4788"/>
    <w:rsid w:val="005E4F1F"/>
    <w:rsid w:val="005F644B"/>
    <w:rsid w:val="0060506E"/>
    <w:rsid w:val="00620060"/>
    <w:rsid w:val="006417ED"/>
    <w:rsid w:val="0064542D"/>
    <w:rsid w:val="006550B4"/>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2505B"/>
    <w:rsid w:val="00733AD1"/>
    <w:rsid w:val="00741C90"/>
    <w:rsid w:val="00744D38"/>
    <w:rsid w:val="00745596"/>
    <w:rsid w:val="007510FF"/>
    <w:rsid w:val="00764C4B"/>
    <w:rsid w:val="00766EF7"/>
    <w:rsid w:val="007679E5"/>
    <w:rsid w:val="007825C8"/>
    <w:rsid w:val="00784465"/>
    <w:rsid w:val="00793F83"/>
    <w:rsid w:val="007A1319"/>
    <w:rsid w:val="007A27E3"/>
    <w:rsid w:val="007A45E6"/>
    <w:rsid w:val="007A666E"/>
    <w:rsid w:val="007B6DE6"/>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61AF9"/>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64D08"/>
    <w:rsid w:val="00A87119"/>
    <w:rsid w:val="00A92C11"/>
    <w:rsid w:val="00A9670A"/>
    <w:rsid w:val="00A97D2D"/>
    <w:rsid w:val="00AA03B1"/>
    <w:rsid w:val="00AA069C"/>
    <w:rsid w:val="00AA7802"/>
    <w:rsid w:val="00AB0217"/>
    <w:rsid w:val="00AB2848"/>
    <w:rsid w:val="00AE0E46"/>
    <w:rsid w:val="00AF773B"/>
    <w:rsid w:val="00B03856"/>
    <w:rsid w:val="00B11AE2"/>
    <w:rsid w:val="00B153D0"/>
    <w:rsid w:val="00B205DE"/>
    <w:rsid w:val="00B21E93"/>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B5244"/>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77B22"/>
    <w:rsid w:val="00D86D0A"/>
    <w:rsid w:val="00DA3B74"/>
    <w:rsid w:val="00DB736A"/>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2C3C"/>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4784A"/>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 w:val="00FF7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paragraph" w:customStyle="1" w:styleId="ZkladntextIMP">
    <w:name w:val="Základní text_IMP"/>
    <w:basedOn w:val="Normln"/>
    <w:uiPriority w:val="99"/>
    <w:rsid w:val="00E82C3C"/>
    <w:pPr>
      <w:suppressAutoHyphens/>
      <w:overflowPunct w:val="0"/>
      <w:autoSpaceDE w:val="0"/>
      <w:autoSpaceDN w:val="0"/>
      <w:adjustRightInd w:val="0"/>
      <w:spacing w:line="230" w:lineRule="auto"/>
      <w:ind w:left="0" w:firstLine="0"/>
      <w:jc w:val="left"/>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5540</Words>
  <Characters>32686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Žižková Dagmar</cp:lastModifiedBy>
  <cp:revision>9</cp:revision>
  <cp:lastPrinted>2014-08-04T16:47:00Z</cp:lastPrinted>
  <dcterms:created xsi:type="dcterms:W3CDTF">2014-07-31T14:07:00Z</dcterms:created>
  <dcterms:modified xsi:type="dcterms:W3CDTF">2014-08-04T16:47:00Z</dcterms:modified>
</cp:coreProperties>
</file>