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075029">
        <w:rPr>
          <w:rFonts w:ascii="Calibri" w:hAnsi="Calibri"/>
          <w:sz w:val="22"/>
          <w:szCs w:val="22"/>
        </w:rPr>
        <w:t>Ing. Jiřím Geislerem</w:t>
      </w:r>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roofErr w:type="gramStart"/>
      <w:r w:rsidRPr="004B7929">
        <w:rPr>
          <w:rFonts w:ascii="Calibri" w:hAnsi="Calibri" w:cs="Times New Roman"/>
          <w:sz w:val="22"/>
          <w:szCs w:val="22"/>
        </w:rPr>
        <w:t>Zastoupený :</w:t>
      </w:r>
      <w:proofErr w:type="gramEnd"/>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smluvních :</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technických :</w:t>
      </w:r>
      <w:proofErr w:type="gramEnd"/>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0F5A2D" w:rsidRPr="000F5A2D">
        <w:rPr>
          <w:rFonts w:ascii="Calibri" w:hAnsi="Calibri" w:cs="Arial"/>
          <w:b/>
          <w:szCs w:val="22"/>
        </w:rPr>
        <w:t xml:space="preserve">Rekonstrukce </w:t>
      </w:r>
      <w:r w:rsidR="00075029">
        <w:rPr>
          <w:rFonts w:ascii="Calibri" w:hAnsi="Calibri" w:cs="Arial"/>
          <w:b/>
          <w:szCs w:val="22"/>
        </w:rPr>
        <w:t>náměstí Dr. E. Beneše</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D44F00" w:rsidRDefault="00D378F8" w:rsidP="00821E52">
      <w:pPr>
        <w:ind w:left="567" w:hanging="567"/>
        <w:rPr>
          <w:rFonts w:asciiTheme="minorHAnsi" w:hAnsiTheme="minorHAnsi" w:cs="Arial"/>
        </w:rPr>
      </w:pPr>
      <w:r w:rsidRPr="00DB7CD3">
        <w:rPr>
          <w:rFonts w:ascii="Calibri" w:hAnsi="Calibri"/>
        </w:rPr>
        <w:t>2.3</w:t>
      </w:r>
      <w:r w:rsidRPr="00821E52">
        <w:rPr>
          <w:rFonts w:asciiTheme="minorHAnsi" w:hAnsiTheme="minorHAnsi"/>
        </w:rPr>
        <w:tab/>
        <w:t>Dílo bude provedeno</w:t>
      </w:r>
      <w:r w:rsidR="00A57704" w:rsidRPr="00821E52">
        <w:rPr>
          <w:rFonts w:asciiTheme="minorHAnsi" w:hAnsiTheme="minorHAnsi"/>
        </w:rPr>
        <w:t xml:space="preserve"> </w:t>
      </w:r>
      <w:r w:rsidRPr="00821E52">
        <w:rPr>
          <w:rFonts w:asciiTheme="minorHAnsi" w:hAnsiTheme="minorHAnsi"/>
        </w:rPr>
        <w:t xml:space="preserve">dle </w:t>
      </w:r>
      <w:r w:rsidR="00047A2F" w:rsidRPr="00821E52">
        <w:rPr>
          <w:rFonts w:asciiTheme="minorHAnsi" w:hAnsiTheme="minorHAnsi" w:cs="Arial"/>
        </w:rPr>
        <w:t>projektov</w:t>
      </w:r>
      <w:r w:rsidR="00D44F00">
        <w:rPr>
          <w:rFonts w:asciiTheme="minorHAnsi" w:hAnsiTheme="minorHAnsi" w:cs="Arial"/>
        </w:rPr>
        <w:t>ých</w:t>
      </w:r>
      <w:r w:rsidR="00E23ADF" w:rsidRPr="00821E52">
        <w:rPr>
          <w:rFonts w:asciiTheme="minorHAnsi" w:hAnsiTheme="minorHAnsi" w:cs="Arial"/>
        </w:rPr>
        <w:t xml:space="preserve"> dokumentac</w:t>
      </w:r>
      <w:r w:rsidR="00D44F00">
        <w:rPr>
          <w:rFonts w:asciiTheme="minorHAnsi" w:hAnsiTheme="minorHAnsi" w:cs="Arial"/>
        </w:rPr>
        <w:t>í</w:t>
      </w:r>
      <w:r w:rsidR="00821E52">
        <w:rPr>
          <w:rFonts w:asciiTheme="minorHAnsi" w:hAnsiTheme="minorHAnsi" w:cs="Arial"/>
        </w:rPr>
        <w:t xml:space="preserve"> s</w:t>
      </w:r>
      <w:r w:rsidR="00D44F00">
        <w:rPr>
          <w:rFonts w:asciiTheme="minorHAnsi" w:hAnsiTheme="minorHAnsi" w:cs="Arial"/>
        </w:rPr>
        <w:t> </w:t>
      </w:r>
      <w:r w:rsidR="00821E52">
        <w:rPr>
          <w:rFonts w:asciiTheme="minorHAnsi" w:hAnsiTheme="minorHAnsi" w:cs="Arial"/>
        </w:rPr>
        <w:t>názvem</w:t>
      </w:r>
      <w:r w:rsidR="00D44F00">
        <w:rPr>
          <w:rFonts w:asciiTheme="minorHAnsi" w:hAnsiTheme="minorHAnsi" w:cs="Arial"/>
        </w:rPr>
        <w:t>:</w:t>
      </w:r>
    </w:p>
    <w:p w:rsidR="00D44F00" w:rsidRPr="00D44F00" w:rsidRDefault="00D44F00" w:rsidP="00D44F00">
      <w:pPr>
        <w:numPr>
          <w:ilvl w:val="0"/>
          <w:numId w:val="31"/>
        </w:numPr>
        <w:rPr>
          <w:rFonts w:asciiTheme="minorHAnsi" w:hAnsiTheme="minorHAnsi" w:cs="Arial"/>
        </w:rPr>
      </w:pPr>
      <w:r w:rsidRPr="00D44F00">
        <w:rPr>
          <w:rFonts w:asciiTheme="minorHAnsi" w:hAnsiTheme="minorHAnsi" w:cs="Arial"/>
        </w:rPr>
        <w:t>„Přeložka zařízení distribuční soustavy na náměstí Dr. E. Beneše“, zpracovaná společností: INVIS, spol. s r.o., Hladnovská 11, 710 09 Ostr</w:t>
      </w:r>
      <w:r>
        <w:rPr>
          <w:rFonts w:asciiTheme="minorHAnsi" w:hAnsiTheme="minorHAnsi" w:cs="Arial"/>
        </w:rPr>
        <w:t>ava, IČ 146 16 327</w:t>
      </w:r>
      <w:r w:rsidRPr="00D44F00">
        <w:rPr>
          <w:rFonts w:asciiTheme="minorHAnsi" w:hAnsiTheme="minorHAnsi" w:cs="Arial"/>
        </w:rPr>
        <w:t xml:space="preserve"> v červenci 2016,</w:t>
      </w:r>
    </w:p>
    <w:p w:rsidR="00D44F00" w:rsidRPr="00D44F00" w:rsidRDefault="00D44F00" w:rsidP="00D44F00">
      <w:pPr>
        <w:numPr>
          <w:ilvl w:val="0"/>
          <w:numId w:val="31"/>
        </w:numPr>
        <w:rPr>
          <w:rFonts w:asciiTheme="minorHAnsi" w:hAnsiTheme="minorHAnsi" w:cs="Arial"/>
        </w:rPr>
      </w:pPr>
      <w:r w:rsidRPr="00D44F00">
        <w:rPr>
          <w:rFonts w:asciiTheme="minorHAnsi" w:hAnsiTheme="minorHAnsi" w:cs="Arial"/>
        </w:rPr>
        <w:t>„Rekonstrukce náměstí Dr. E. Beneše“, zpracovaná společností PROTIS PLUS, spol. s. r.o., Kutuzovova 666/29, 703 00 Ostrava - Vítkovi</w:t>
      </w:r>
      <w:r>
        <w:rPr>
          <w:rFonts w:asciiTheme="minorHAnsi" w:hAnsiTheme="minorHAnsi" w:cs="Arial"/>
        </w:rPr>
        <w:t>ce, IČ 253 55 350</w:t>
      </w:r>
      <w:r w:rsidRPr="00D44F00">
        <w:rPr>
          <w:rFonts w:asciiTheme="minorHAnsi" w:hAnsiTheme="minorHAnsi" w:cs="Arial"/>
        </w:rPr>
        <w:t xml:space="preserve"> v srpnu 2016</w:t>
      </w:r>
    </w:p>
    <w:p w:rsidR="00821E52" w:rsidRPr="00DB7CD3" w:rsidRDefault="00E23ADF" w:rsidP="00821E52">
      <w:pPr>
        <w:ind w:left="567" w:hanging="567"/>
        <w:rPr>
          <w:rFonts w:ascii="Calibri" w:hAnsi="Calibri"/>
          <w:szCs w:val="22"/>
        </w:rPr>
      </w:pPr>
      <w:r w:rsidRPr="00821E52">
        <w:rPr>
          <w:rFonts w:asciiTheme="minorHAnsi" w:eastAsia="Calibri" w:hAnsiTheme="minorHAnsi"/>
          <w:lang w:eastAsia="en-US"/>
        </w:rPr>
        <w:t xml:space="preserve"> </w:t>
      </w:r>
      <w:r w:rsidR="00D44F00">
        <w:rPr>
          <w:rFonts w:asciiTheme="minorHAnsi" w:eastAsia="Calibri" w:hAnsiTheme="minorHAnsi"/>
          <w:lang w:eastAsia="en-US"/>
        </w:rPr>
        <w:tab/>
      </w:r>
      <w:r w:rsidR="00821E52" w:rsidRPr="00E23ADF">
        <w:rPr>
          <w:rFonts w:ascii="Calibri" w:hAnsi="Calibri" w:cs="Arial"/>
        </w:rPr>
        <w:t xml:space="preserve">(dále jen </w:t>
      </w:r>
      <w:r w:rsidR="00D44F00">
        <w:rPr>
          <w:rFonts w:ascii="Calibri" w:hAnsi="Calibri" w:cs="Arial"/>
        </w:rPr>
        <w:t>„projektové</w:t>
      </w:r>
      <w:r w:rsidR="00821E52" w:rsidRPr="00E23ADF">
        <w:rPr>
          <w:rFonts w:ascii="Calibri" w:hAnsi="Calibri" w:cs="Arial"/>
        </w:rPr>
        <w:t xml:space="preserve"> dokumentace“)</w:t>
      </w:r>
      <w:r w:rsidR="00821E52">
        <w:rPr>
          <w:rFonts w:ascii="Calibri" w:hAnsi="Calibri" w:cs="Arial"/>
        </w:rPr>
        <w:t xml:space="preserve"> </w:t>
      </w:r>
      <w:r w:rsidR="00821E52">
        <w:rPr>
          <w:rFonts w:ascii="Calibri" w:hAnsi="Calibri"/>
          <w:szCs w:val="22"/>
        </w:rPr>
        <w:t xml:space="preserve">a dle </w:t>
      </w:r>
      <w:r w:rsidR="00821E52" w:rsidRPr="00EC04F2">
        <w:rPr>
          <w:rFonts w:ascii="Calibri" w:hAnsi="Calibri"/>
          <w:szCs w:val="22"/>
        </w:rPr>
        <w:t>podmínek vyplývajících ze stav</w:t>
      </w:r>
      <w:r w:rsidR="00821E52">
        <w:rPr>
          <w:rFonts w:ascii="Calibri" w:hAnsi="Calibri"/>
          <w:szCs w:val="22"/>
        </w:rPr>
        <w:t>ebně-správních rozhodnutí.</w:t>
      </w:r>
    </w:p>
    <w:p w:rsidR="00821E52" w:rsidRDefault="00821E52" w:rsidP="00E23ADF">
      <w:pPr>
        <w:ind w:left="567" w:hanging="567"/>
      </w:pP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D44F00" w:rsidRPr="00D44F00" w:rsidRDefault="00E23ADF" w:rsidP="00D44F00">
      <w:pPr>
        <w:widowControl w:val="0"/>
        <w:tabs>
          <w:tab w:val="left" w:pos="3312"/>
        </w:tabs>
        <w:overflowPunct w:val="0"/>
        <w:autoSpaceDE w:val="0"/>
        <w:autoSpaceDN w:val="0"/>
        <w:adjustRightInd w:val="0"/>
        <w:ind w:left="567" w:firstLine="0"/>
        <w:outlineLvl w:val="0"/>
        <w:rPr>
          <w:rFonts w:ascii="Calibri" w:hAnsi="Calibri"/>
        </w:rPr>
      </w:pPr>
      <w:r w:rsidRPr="00E23ADF">
        <w:rPr>
          <w:rFonts w:ascii="Calibri" w:hAnsi="Calibri"/>
        </w:rPr>
        <w:t>Předmětem plnění veřejné zakázky</w:t>
      </w:r>
      <w:r w:rsidR="00316213">
        <w:rPr>
          <w:rFonts w:ascii="Calibri" w:hAnsi="Calibri"/>
        </w:rPr>
        <w:t xml:space="preserve"> je</w:t>
      </w:r>
      <w:r w:rsidRPr="00E23ADF">
        <w:rPr>
          <w:rFonts w:ascii="Calibri" w:hAnsi="Calibri"/>
        </w:rPr>
        <w:t xml:space="preserve"> </w:t>
      </w:r>
      <w:r w:rsidR="00D44F00" w:rsidRPr="00D44F00">
        <w:rPr>
          <w:rFonts w:ascii="Calibri" w:hAnsi="Calibri"/>
        </w:rPr>
        <w:t>rekonstrukce náměstí před budovou Radnice spočívající v opravě stávajících ploch, opravě a instalaci mobiliáře a přeložce distribučního zařízení.</w:t>
      </w:r>
    </w:p>
    <w:p w:rsidR="00E23ADF" w:rsidRPr="00E23ADF" w:rsidRDefault="00E23ADF" w:rsidP="00DD348A">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D378F8"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2.6</w:t>
      </w:r>
      <w:r w:rsidRPr="00316213">
        <w:rPr>
          <w:rFonts w:ascii="Calibri" w:hAnsi="Calibri" w:cs="Times New Roman"/>
          <w:sz w:val="22"/>
          <w:szCs w:val="22"/>
        </w:rPr>
        <w:tab/>
        <w:t xml:space="preserve">Místem </w:t>
      </w:r>
      <w:r w:rsidR="002524B5" w:rsidRPr="00316213">
        <w:rPr>
          <w:rFonts w:ascii="Calibri" w:hAnsi="Calibri" w:cs="Times New Roman"/>
          <w:sz w:val="22"/>
          <w:szCs w:val="22"/>
        </w:rPr>
        <w:t xml:space="preserve">plnění </w:t>
      </w:r>
      <w:r w:rsidRPr="00316213">
        <w:rPr>
          <w:rFonts w:ascii="Calibri" w:hAnsi="Calibri" w:cs="Times New Roman"/>
          <w:sz w:val="22"/>
          <w:szCs w:val="22"/>
        </w:rPr>
        <w:t xml:space="preserve">je </w:t>
      </w:r>
      <w:r w:rsidR="00DD348A" w:rsidRPr="00316213">
        <w:rPr>
          <w:rFonts w:ascii="Calibri" w:hAnsi="Calibri" w:cs="Times New Roman"/>
          <w:sz w:val="22"/>
          <w:szCs w:val="22"/>
        </w:rPr>
        <w:t>Ostrava – Moravská Ostrava,</w:t>
      </w:r>
      <w:r w:rsidR="001219AD" w:rsidRPr="001219AD">
        <w:t xml:space="preserve"> </w:t>
      </w:r>
      <w:r w:rsidR="001219AD" w:rsidRPr="001219AD">
        <w:rPr>
          <w:rFonts w:ascii="Calibri" w:hAnsi="Calibri" w:cs="Times New Roman"/>
          <w:sz w:val="22"/>
          <w:szCs w:val="22"/>
        </w:rPr>
        <w:t xml:space="preserve">náměstí Dr. E. Beneše, pozemky parc. č. 466/1, 466/3, 468/1, 3494/1, 3550/1 v </w:t>
      </w:r>
      <w:proofErr w:type="spellStart"/>
      <w:proofErr w:type="gramStart"/>
      <w:r w:rsidR="001219AD" w:rsidRPr="001219AD">
        <w:rPr>
          <w:rFonts w:ascii="Calibri" w:hAnsi="Calibri" w:cs="Times New Roman"/>
          <w:sz w:val="22"/>
          <w:szCs w:val="22"/>
        </w:rPr>
        <w:t>k.ú</w:t>
      </w:r>
      <w:proofErr w:type="spellEnd"/>
      <w:r w:rsidR="001219AD" w:rsidRPr="001219AD">
        <w:rPr>
          <w:rFonts w:ascii="Calibri" w:hAnsi="Calibri" w:cs="Times New Roman"/>
          <w:sz w:val="22"/>
          <w:szCs w:val="22"/>
        </w:rPr>
        <w:t>.</w:t>
      </w:r>
      <w:proofErr w:type="gramEnd"/>
      <w:r w:rsidR="001219AD" w:rsidRPr="001219AD">
        <w:rPr>
          <w:rFonts w:ascii="Calibri" w:hAnsi="Calibri" w:cs="Times New Roman"/>
          <w:sz w:val="22"/>
          <w:szCs w:val="22"/>
        </w:rPr>
        <w:t xml:space="preserve"> Moravská Ostrava.</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w:t>
      </w:r>
      <w:r w:rsidRPr="009D5821">
        <w:rPr>
          <w:rFonts w:ascii="Calibri" w:hAnsi="Calibri" w:cs="Times New Roman"/>
          <w:sz w:val="22"/>
          <w:szCs w:val="22"/>
        </w:rPr>
        <w:t>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316213" w:rsidRPr="00316213">
        <w:rPr>
          <w:rFonts w:ascii="Calibri" w:hAnsi="Calibri" w:cs="Times New Roman"/>
          <w:b/>
          <w:sz w:val="22"/>
          <w:szCs w:val="22"/>
        </w:rPr>
        <w:t xml:space="preserve">Rekonstrukce </w:t>
      </w:r>
      <w:r w:rsidR="001219AD">
        <w:rPr>
          <w:rFonts w:ascii="Calibri" w:hAnsi="Calibri" w:cs="Times New Roman"/>
          <w:b/>
          <w:sz w:val="22"/>
          <w:szCs w:val="22"/>
        </w:rPr>
        <w:t>náměstí Dr. E. Beneše</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uvedené</w:t>
      </w:r>
      <w:r w:rsidR="006B5264">
        <w:rPr>
          <w:rFonts w:ascii="Calibri" w:hAnsi="Calibri" w:cs="Times New Roman"/>
          <w:sz w:val="22"/>
          <w:szCs w:val="22"/>
        </w:rPr>
        <w:t>ho</w:t>
      </w:r>
      <w:r>
        <w:rPr>
          <w:rFonts w:ascii="Calibri" w:hAnsi="Calibri" w:cs="Times New Roman"/>
          <w:sz w:val="22"/>
          <w:szCs w:val="22"/>
        </w:rPr>
        <w:t xml:space="preserve"> zadávací</w:t>
      </w:r>
      <w:r w:rsidR="006B5264">
        <w:rPr>
          <w:rFonts w:ascii="Calibri" w:hAnsi="Calibri" w:cs="Times New Roman"/>
          <w:sz w:val="22"/>
          <w:szCs w:val="22"/>
        </w:rPr>
        <w:t>ho</w:t>
      </w:r>
      <w:r>
        <w:rPr>
          <w:rFonts w:ascii="Calibri" w:hAnsi="Calibri" w:cs="Times New Roman"/>
          <w:sz w:val="22"/>
          <w:szCs w:val="22"/>
        </w:rPr>
        <w:t xml:space="preserve"> řízení</w:t>
      </w:r>
      <w:r w:rsidR="006B5264">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6B5264">
        <w:rPr>
          <w:rFonts w:ascii="Calibri" w:hAnsi="Calibri" w:cs="Times New Roman"/>
          <w:sz w:val="22"/>
          <w:szCs w:val="22"/>
        </w:rPr>
        <w:t>Veškeré zadávací</w:t>
      </w:r>
      <w:r>
        <w:rPr>
          <w:rFonts w:ascii="Calibri" w:hAnsi="Calibri" w:cs="Times New Roman"/>
          <w:sz w:val="22"/>
          <w:szCs w:val="22"/>
        </w:rPr>
        <w:t xml:space="preserve">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674A89" w:rsidRDefault="00674A89"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r w:rsidR="003B5922">
        <w:rPr>
          <w:rFonts w:ascii="Calibri" w:hAnsi="Calibri"/>
          <w:sz w:val="22"/>
          <w:szCs w:val="22"/>
        </w:rPr>
        <w:t xml:space="preserve"> v tomto článku</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795C1C">
        <w:rPr>
          <w:rFonts w:ascii="Calibri" w:hAnsi="Calibri"/>
          <w:snapToGrid w:val="0"/>
          <w:sz w:val="22"/>
          <w:szCs w:val="22"/>
        </w:rPr>
        <w:t xml:space="preserve">plnění </w:t>
      </w:r>
      <w:r w:rsidR="00B13C6F" w:rsidRPr="00795C1C">
        <w:rPr>
          <w:rFonts w:ascii="Calibri" w:hAnsi="Calibri"/>
          <w:snapToGrid w:val="0"/>
          <w:sz w:val="22"/>
          <w:szCs w:val="22"/>
        </w:rPr>
        <w:t>ne</w:t>
      </w:r>
      <w:r w:rsidRPr="00795C1C">
        <w:rPr>
          <w:rFonts w:ascii="Calibri" w:hAnsi="Calibri"/>
          <w:snapToGrid w:val="0"/>
          <w:sz w:val="22"/>
          <w:szCs w:val="22"/>
        </w:rPr>
        <w:t>bude používáno k ekonomické činnosti</w:t>
      </w:r>
      <w:r w:rsidRPr="00F81138">
        <w:rPr>
          <w:rFonts w:ascii="Calibri" w:hAnsi="Calibri"/>
          <w:snapToGrid w:val="0"/>
          <w:sz w:val="22"/>
          <w:szCs w:val="22"/>
        </w:rPr>
        <w:t xml:space="preserve"> a ve smyslu informace Generálního finančního ředitelství a Ministerstva financí České republiky ze dne 9. 11. 2011 </w:t>
      </w:r>
      <w:r w:rsidR="00B13C6F">
        <w:rPr>
          <w:rFonts w:ascii="Calibri" w:hAnsi="Calibri"/>
          <w:snapToGrid w:val="0"/>
          <w:sz w:val="22"/>
          <w:szCs w:val="22"/>
        </w:rPr>
        <w:t>ne</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FD7CE0" w:rsidRDefault="00FD7CE0"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616549" w:rsidRDefault="0061654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lastRenderedPageBreak/>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w:t>
      </w:r>
      <w:r w:rsidR="000D243A">
        <w:rPr>
          <w:rFonts w:ascii="Calibri" w:hAnsi="Calibri" w:cs="Times New Roman"/>
          <w:sz w:val="22"/>
          <w:szCs w:val="22"/>
        </w:rPr>
        <w:t>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6B64CD">
        <w:rPr>
          <w:rFonts w:ascii="Calibri" w:hAnsi="Calibri" w:cs="Times New Roman"/>
          <w:b/>
          <w:sz w:val="22"/>
          <w:szCs w:val="22"/>
        </w:rPr>
        <w:t>4</w:t>
      </w:r>
      <w:r w:rsidR="00616549">
        <w:rPr>
          <w:rFonts w:ascii="Calibri" w:hAnsi="Calibri" w:cs="Times New Roman"/>
          <w:b/>
          <w:sz w:val="22"/>
          <w:szCs w:val="22"/>
        </w:rPr>
        <w:t>0</w:t>
      </w:r>
      <w:r w:rsidR="006866F2" w:rsidRPr="000C3494">
        <w:rPr>
          <w:rFonts w:ascii="Calibri" w:hAnsi="Calibri" w:cs="Times New Roman"/>
          <w:b/>
          <w:sz w:val="22"/>
          <w:szCs w:val="22"/>
        </w:rPr>
        <w:t xml:space="preserve"> </w:t>
      </w:r>
      <w:r w:rsidR="00604C71" w:rsidRPr="000C3494">
        <w:rPr>
          <w:rFonts w:ascii="Calibri" w:hAnsi="Calibri" w:cs="Times New Roman"/>
          <w:b/>
          <w:sz w:val="22"/>
          <w:szCs w:val="22"/>
        </w:rPr>
        <w:t>k</w:t>
      </w:r>
      <w:r w:rsidR="008071D7" w:rsidRPr="000C3494">
        <w:rPr>
          <w:rFonts w:ascii="Calibri" w:hAnsi="Calibri" w:cs="Times New Roman"/>
          <w:b/>
          <w:sz w:val="22"/>
          <w:szCs w:val="22"/>
        </w:rPr>
        <w:t>alendářní</w:t>
      </w:r>
      <w:r w:rsidR="00604C71" w:rsidRPr="000C3494">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EC12A8">
        <w:rPr>
          <w:rFonts w:ascii="Calibri" w:hAnsi="Calibri" w:cs="Times New Roman"/>
          <w:b/>
          <w:sz w:val="22"/>
          <w:szCs w:val="22"/>
        </w:rPr>
        <w:t>březen 2017</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E720CF">
        <w:rPr>
          <w:rFonts w:ascii="Calibri" w:hAnsi="Calibri" w:cs="Times New Roman"/>
          <w:sz w:val="22"/>
          <w:szCs w:val="22"/>
        </w:rPr>
        <w:t>čl.</w:t>
      </w:r>
      <w:r w:rsidR="00FB3ACE">
        <w:rPr>
          <w:rFonts w:ascii="Calibri" w:hAnsi="Calibri" w:cs="Times New Roman"/>
          <w:sz w:val="22"/>
          <w:szCs w:val="22"/>
        </w:rPr>
        <w:t xml:space="preserve"> </w:t>
      </w:r>
      <w:r w:rsidR="00E720CF">
        <w:rPr>
          <w:rFonts w:ascii="Calibri" w:hAnsi="Calibri" w:cs="Times New Roman"/>
          <w:sz w:val="22"/>
          <w:szCs w:val="22"/>
        </w:rPr>
        <w:t>II odst. 2</w:t>
      </w:r>
      <w:r w:rsidR="00FC5926">
        <w:rPr>
          <w:rFonts w:ascii="Calibri" w:hAnsi="Calibri" w:cs="Times New Roman"/>
          <w:sz w:val="22"/>
          <w:szCs w:val="22"/>
        </w:rPr>
        <w:t>.8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31381F" w:rsidRDefault="0031381F" w:rsidP="0031381F">
      <w:pPr>
        <w:pStyle w:val="Normln1"/>
        <w:numPr>
          <w:ilvl w:val="0"/>
          <w:numId w:val="18"/>
        </w:numPr>
        <w:jc w:val="both"/>
        <w:textAlignment w:val="baseline"/>
        <w:rPr>
          <w:rFonts w:ascii="Calibri" w:hAnsi="Calibri"/>
        </w:rPr>
      </w:pPr>
      <w:r>
        <w:rPr>
          <w:rFonts w:ascii="Calibri" w:hAnsi="Calibri"/>
        </w:rPr>
        <w:t>zajištění vydání příkazu k dočasnému dopravnímu značení,</w:t>
      </w:r>
    </w:p>
    <w:p w:rsidR="0031381F" w:rsidRDefault="0031381F" w:rsidP="0031381F">
      <w:pPr>
        <w:pStyle w:val="Normln1"/>
        <w:numPr>
          <w:ilvl w:val="0"/>
          <w:numId w:val="18"/>
        </w:numPr>
        <w:jc w:val="both"/>
        <w:textAlignment w:val="baseline"/>
        <w:rPr>
          <w:rFonts w:ascii="Calibri" w:hAnsi="Calibri"/>
        </w:rPr>
      </w:pPr>
      <w:r w:rsidRPr="006F5ECA">
        <w:rPr>
          <w:rFonts w:ascii="Calibri" w:hAnsi="Calibri"/>
        </w:rPr>
        <w:t>projednání etapizace technicko-provozní organizace akce (koordinace, projednání s</w:t>
      </w:r>
      <w:r>
        <w:rPr>
          <w:rFonts w:ascii="Calibri" w:hAnsi="Calibri"/>
        </w:rPr>
        <w:t> </w:t>
      </w:r>
      <w:r w:rsidRPr="006F5ECA">
        <w:rPr>
          <w:rFonts w:ascii="Calibri" w:hAnsi="Calibri"/>
        </w:rPr>
        <w:t xml:space="preserve">investorem </w:t>
      </w:r>
      <w:r w:rsidR="00616549">
        <w:rPr>
          <w:rFonts w:ascii="Calibri" w:hAnsi="Calibri"/>
        </w:rPr>
        <w:t xml:space="preserve">a </w:t>
      </w:r>
      <w:r>
        <w:rPr>
          <w:rFonts w:ascii="Calibri" w:hAnsi="Calibri"/>
        </w:rPr>
        <w:t>vlastníky sousedních nemovitostí,</w:t>
      </w:r>
      <w:r w:rsidRPr="006F5ECA">
        <w:rPr>
          <w:rFonts w:ascii="Calibri" w:hAnsi="Calibri"/>
        </w:rPr>
        <w:t xml:space="preserve"> harmonogram stavby)</w:t>
      </w:r>
      <w:r w:rsidR="00616549">
        <w:rPr>
          <w:rFonts w:ascii="Calibri" w:hAnsi="Calibri"/>
        </w:rPr>
        <w:t>,</w:t>
      </w:r>
    </w:p>
    <w:p w:rsidR="00616549" w:rsidRPr="006F5ECA" w:rsidRDefault="00616549" w:rsidP="0031381F">
      <w:pPr>
        <w:pStyle w:val="Normln1"/>
        <w:numPr>
          <w:ilvl w:val="0"/>
          <w:numId w:val="18"/>
        </w:numPr>
        <w:jc w:val="both"/>
        <w:textAlignment w:val="baseline"/>
        <w:rPr>
          <w:rFonts w:ascii="Calibri" w:hAnsi="Calibri"/>
        </w:rPr>
      </w:pPr>
      <w:r w:rsidRPr="00616549">
        <w:rPr>
          <w:rFonts w:ascii="Calibri" w:hAnsi="Calibri"/>
          <w:b/>
        </w:rPr>
        <w:t>zajištění koordinace s provozem ČNB u bočního vchodu z náměstí Dr. E. Beneše, určeného k zásobování objektu</w:t>
      </w:r>
      <w:r>
        <w:rPr>
          <w:rFonts w:ascii="Calibri" w:hAnsi="Calibri"/>
          <w:b/>
        </w:rPr>
        <w:t xml:space="preserve"> a koordinace s realizací přeložky ČEZ</w:t>
      </w:r>
      <w:r>
        <w:rPr>
          <w:rFonts w:ascii="Calibri" w:hAnsi="Calibri"/>
        </w:rPr>
        <w:t>.</w:t>
      </w:r>
    </w:p>
    <w:p w:rsidR="007F4E3C" w:rsidRDefault="007F4E3C" w:rsidP="0031381F">
      <w:pPr>
        <w:autoSpaceDE w:val="0"/>
        <w:autoSpaceDN w:val="0"/>
        <w:adjustRightInd w:val="0"/>
        <w:ind w:left="0" w:firstLine="0"/>
        <w:rPr>
          <w:rFonts w:ascii="Calibri" w:eastAsia="Calibri" w:hAnsi="Calibri" w:cs="Arial"/>
          <w:szCs w:val="22"/>
          <w:u w:val="single"/>
          <w:lang w:eastAsia="en-US"/>
        </w:rPr>
      </w:pPr>
    </w:p>
    <w:p w:rsidR="00616549" w:rsidRPr="008278A3" w:rsidRDefault="00616549" w:rsidP="0031381F">
      <w:pPr>
        <w:autoSpaceDE w:val="0"/>
        <w:autoSpaceDN w:val="0"/>
        <w:adjustRightInd w:val="0"/>
        <w:ind w:left="0" w:firstLine="0"/>
        <w:rPr>
          <w:rFonts w:ascii="Calibri" w:eastAsia="Calibri" w:hAnsi="Calibri" w:cs="Arial"/>
          <w:szCs w:val="22"/>
          <w:u w:val="single"/>
          <w:lang w:eastAsia="en-US"/>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lastRenderedPageBreak/>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a plánu BOZP</w:t>
      </w:r>
      <w:r w:rsidRPr="00F0468D">
        <w:rPr>
          <w:rFonts w:ascii="Calibri" w:hAnsi="Calibri"/>
        </w:rPr>
        <w:t xml:space="preserve">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4F5BEE">
        <w:rPr>
          <w:rFonts w:ascii="Calibri" w:hAnsi="Calibri"/>
        </w:rPr>
        <w:t xml:space="preserve">uživatelů a </w:t>
      </w:r>
      <w:r w:rsidR="001739B5">
        <w:rPr>
          <w:rFonts w:ascii="Calibri" w:hAnsi="Calibri"/>
        </w:rPr>
        <w:t xml:space="preserve">chodců </w:t>
      </w:r>
      <w:r w:rsidRPr="00F0468D">
        <w:rPr>
          <w:rFonts w:ascii="Calibri" w:hAnsi="Calibri"/>
        </w:rPr>
        <w:t>včetně označení a osvětlení prostoru staveniště a překážek v noci (např. zábrany, tabulky, atd.),</w:t>
      </w:r>
      <w:r w:rsidR="00E06D34">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245B7C">
        <w:rPr>
          <w:rFonts w:ascii="Calibri" w:hAnsi="Calibri"/>
        </w:rPr>
        <w:t>a, nedohodou-li se strany jinak,</w:t>
      </w:r>
    </w:p>
    <w:p w:rsidR="00245B7C" w:rsidRDefault="00245B7C" w:rsidP="00245B7C">
      <w:pPr>
        <w:pStyle w:val="Normln1"/>
        <w:numPr>
          <w:ilvl w:val="0"/>
          <w:numId w:val="19"/>
        </w:numPr>
        <w:jc w:val="both"/>
        <w:textAlignment w:val="baseline"/>
        <w:rPr>
          <w:rFonts w:ascii="Calibri" w:hAnsi="Calibri"/>
        </w:rPr>
      </w:pPr>
      <w:r>
        <w:rPr>
          <w:rFonts w:ascii="Calibri" w:hAnsi="Calibri"/>
        </w:rPr>
        <w:t>po celou dobu realizace bude zajištěn přístup k nemovitostem a jejich nezbytná obslužnost</w:t>
      </w:r>
      <w:r w:rsidR="008960AA">
        <w:rPr>
          <w:rFonts w:ascii="Calibri" w:hAnsi="Calibri"/>
        </w:rPr>
        <w:t>,</w:t>
      </w:r>
    </w:p>
    <w:p w:rsidR="008960AA" w:rsidRPr="008960AA" w:rsidRDefault="008960AA" w:rsidP="008960AA">
      <w:pPr>
        <w:pStyle w:val="Normln1"/>
        <w:numPr>
          <w:ilvl w:val="0"/>
          <w:numId w:val="19"/>
        </w:numPr>
        <w:jc w:val="both"/>
        <w:textAlignment w:val="baseline"/>
        <w:rPr>
          <w:rFonts w:ascii="Calibri" w:hAnsi="Calibri"/>
        </w:rPr>
      </w:pPr>
      <w:r>
        <w:rPr>
          <w:rFonts w:ascii="Calibri" w:hAnsi="Calibri"/>
        </w:rPr>
        <w:t>zajištění vydání příkazu k trvalému dopravnímu značení (pokud bude vyžadován).</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 xml:space="preserve"> revizní zprávy,</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w:t>
      </w:r>
      <w:r w:rsidR="008960AA">
        <w:rPr>
          <w:rFonts w:ascii="Calibri" w:hAnsi="Calibri"/>
          <w:noProof/>
          <w:szCs w:val="22"/>
        </w:rPr>
        <w:t>ci stavby</w:t>
      </w:r>
      <w:r w:rsidRPr="00F84505">
        <w:rPr>
          <w:rFonts w:ascii="Calibri" w:hAnsi="Calibri"/>
          <w:noProof/>
          <w:szCs w:val="22"/>
        </w:rPr>
        <w:t>,</w:t>
      </w:r>
    </w:p>
    <w:p w:rsidR="008960AA" w:rsidRPr="008960AA" w:rsidRDefault="008960AA" w:rsidP="008960AA">
      <w:pPr>
        <w:numPr>
          <w:ilvl w:val="0"/>
          <w:numId w:val="17"/>
        </w:numPr>
        <w:ind w:left="1134"/>
        <w:rPr>
          <w:rFonts w:ascii="Calibri" w:hAnsi="Calibri"/>
          <w:noProof/>
          <w:szCs w:val="22"/>
        </w:rPr>
      </w:pPr>
      <w:r>
        <w:rPr>
          <w:rFonts w:ascii="Calibri" w:hAnsi="Calibri"/>
        </w:rPr>
        <w:t>geodetické zaměření skutečného provedení stavby ve čtyřech vyhotoveních</w:t>
      </w:r>
      <w:r>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7F4E3C" w:rsidRPr="00EA6CA4" w:rsidRDefault="007F4E3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 xml:space="preserve">dodavatele a osoby, které budou provádět </w:t>
      </w:r>
      <w:r w:rsidR="00FC5926" w:rsidRPr="00EA6CA4">
        <w:rPr>
          <w:rFonts w:ascii="Calibri" w:hAnsi="Calibri" w:cs="Times New Roman"/>
          <w:sz w:val="22"/>
          <w:szCs w:val="22"/>
        </w:rPr>
        <w:lastRenderedPageBreak/>
        <w:t>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w:t>
      </w:r>
      <w:r w:rsidR="00FC5926" w:rsidRPr="00EA6CA4">
        <w:rPr>
          <w:rFonts w:ascii="Calibri" w:hAnsi="Calibri"/>
          <w:szCs w:val="22"/>
        </w:rPr>
        <w:lastRenderedPageBreak/>
        <w:t>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xml:space="preserve">) na odstoupení od smlouvy. Představují-li vady díla nepodstatné porušení smlouvy má objednatel </w:t>
      </w:r>
      <w:r w:rsidR="00D378F8" w:rsidRPr="00186717">
        <w:rPr>
          <w:rFonts w:ascii="Calibri" w:hAnsi="Calibri" w:cs="Times New Roman"/>
          <w:sz w:val="22"/>
          <w:szCs w:val="22"/>
        </w:rPr>
        <w:lastRenderedPageBreak/>
        <w:t>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plnění. Dílčí plnění se považuje za samostatné zdanitelné plnění uskutečněné první</w:t>
      </w:r>
      <w:r w:rsidRPr="00110340">
        <w:rPr>
          <w:rFonts w:ascii="Calibri" w:hAnsi="Calibri"/>
          <w:iCs/>
          <w:szCs w:val="22"/>
        </w:rPr>
        <w:t xml:space="preserve"> pracovní den následujícího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322048"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w:t>
      </w:r>
      <w:r w:rsidR="00CD63A5" w:rsidRPr="00322048">
        <w:rPr>
          <w:rFonts w:ascii="Calibri" w:hAnsi="Calibri" w:cs="Times New Roman"/>
          <w:sz w:val="22"/>
          <w:szCs w:val="22"/>
        </w:rPr>
        <w:t>ne</w:t>
      </w:r>
      <w:r w:rsidRPr="00322048">
        <w:rPr>
          <w:rFonts w:ascii="Calibri" w:hAnsi="Calibri" w:cs="Times New Roman"/>
          <w:sz w:val="22"/>
          <w:szCs w:val="22"/>
        </w:rPr>
        <w:t xml:space="preserve">bude používáno </w:t>
      </w:r>
      <w:r w:rsidR="00CD63A5" w:rsidRPr="00322048">
        <w:rPr>
          <w:rFonts w:ascii="Calibri" w:hAnsi="Calibri" w:cs="Times New Roman"/>
          <w:sz w:val="22"/>
          <w:szCs w:val="22"/>
        </w:rPr>
        <w:t>k ekonomické činnosti – není</w:t>
      </w:r>
      <w:r w:rsidRPr="00322048">
        <w:rPr>
          <w:rFonts w:ascii="Calibri" w:hAnsi="Calibri" w:cs="Times New Roman"/>
          <w:sz w:val="22"/>
          <w:szCs w:val="22"/>
        </w:rPr>
        <w:t xml:space="preserve"> aplikován režim přenesené daňové povinnosti dle § 92a zákona o DPH</w:t>
      </w:r>
      <w:r w:rsidR="00D101B7" w:rsidRPr="00322048">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proofErr w:type="gramStart"/>
      <w:r w:rsidR="00D378F8" w:rsidRPr="003F1973">
        <w:rPr>
          <w:rFonts w:ascii="Calibri" w:hAnsi="Calibri" w:cs="Times New Roman"/>
          <w:sz w:val="22"/>
          <w:szCs w:val="22"/>
        </w:rPr>
        <w:t>náležitosti</w:t>
      </w:r>
      <w:r w:rsidR="003B3203">
        <w:rPr>
          <w:rFonts w:ascii="Calibri" w:hAnsi="Calibri" w:cs="Times New Roman"/>
          <w:sz w:val="22"/>
          <w:szCs w:val="22"/>
        </w:rPr>
        <w:t xml:space="preserve"> nebo</w:t>
      </w:r>
      <w:proofErr w:type="gramEnd"/>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vzniklé z titulu této smlouvy, a to i v případě, že tyto pohledávky nebudou ke dni započtení splatné.</w:t>
      </w:r>
    </w:p>
    <w:p w:rsidR="002B4F27" w:rsidRDefault="002B4F27"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3B2CE8"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w:t>
      </w:r>
      <w:r w:rsidRPr="003B2CE8">
        <w:rPr>
          <w:rFonts w:ascii="Calibri" w:hAnsi="Calibri" w:cs="Times New Roman"/>
          <w:sz w:val="22"/>
          <w:szCs w:val="22"/>
        </w:rPr>
        <w:lastRenderedPageBreak/>
        <w:t xml:space="preserve">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2B4F27">
      <w:pPr>
        <w:pStyle w:val="Import6"/>
        <w:numPr>
          <w:ilvl w:val="0"/>
          <w:numId w:val="30"/>
        </w:numPr>
        <w:spacing w:line="228" w:lineRule="auto"/>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záruční listina musí být účinná </w:t>
      </w:r>
      <w:r w:rsidRPr="007853C2">
        <w:rPr>
          <w:rFonts w:ascii="Calibri" w:hAnsi="Calibri" w:cs="Times New Roman"/>
          <w:sz w:val="22"/>
          <w:szCs w:val="22"/>
        </w:rPr>
        <w:t>60 měsíců od protokolárního předání a převzetí díla</w:t>
      </w:r>
      <w:r w:rsidRPr="003B2CE8">
        <w:rPr>
          <w:rFonts w:ascii="Calibri" w:hAnsi="Calibri" w:cs="Times New Roman"/>
          <w:sz w:val="22"/>
          <w:szCs w:val="22"/>
        </w:rPr>
        <w:t>,</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5% z celkové ceny díla s DPH.</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Záruční listina musí být účinná 60 měsíců od protokolárního předání a převzetí díla.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w:t>
      </w:r>
      <w:r>
        <w:rPr>
          <w:rFonts w:ascii="Calibri" w:hAnsi="Calibri" w:cs="Times New Roman"/>
          <w:sz w:val="22"/>
          <w:szCs w:val="22"/>
        </w:rPr>
        <w:lastRenderedPageBreak/>
        <w:t xml:space="preserve">ukončení a převzetí díla </w:t>
      </w:r>
      <w:r w:rsidR="00E66AE6">
        <w:rPr>
          <w:rFonts w:ascii="Calibri" w:hAnsi="Calibri" w:cs="Times New Roman"/>
          <w:sz w:val="22"/>
          <w:szCs w:val="22"/>
        </w:rPr>
        <w:t>20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E66AE6">
        <w:rPr>
          <w:rFonts w:ascii="Calibri" w:hAnsi="Calibri" w:cs="Times New Roman"/>
          <w:sz w:val="22"/>
          <w:szCs w:val="22"/>
        </w:rPr>
        <w:t>20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E66AE6">
        <w:rPr>
          <w:rFonts w:ascii="Calibri" w:hAnsi="Calibri" w:cs="Times New Roman"/>
          <w:sz w:val="22"/>
          <w:szCs w:val="22"/>
        </w:rPr>
        <w:t>20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E66AE6">
        <w:rPr>
          <w:rFonts w:ascii="Calibri" w:hAnsi="Calibri" w:cs="Times New Roman"/>
          <w:sz w:val="22"/>
          <w:szCs w:val="22"/>
        </w:rPr>
        <w:t>20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E66AE6">
        <w:rPr>
          <w:rFonts w:ascii="Calibri" w:hAnsi="Calibri" w:cs="Times New Roman"/>
          <w:sz w:val="22"/>
          <w:szCs w:val="22"/>
        </w:rPr>
        <w:t>20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47DA2" w:rsidRDefault="00D47DA2"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47DA2" w:rsidRDefault="00D47DA2"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47DA2" w:rsidRDefault="00D47DA2"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47DA2" w:rsidRDefault="00D47DA2"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C9055E">
        <w:rPr>
          <w:rFonts w:ascii="Calibri" w:hAnsi="Calibri" w:cs="Times New Roman"/>
          <w:sz w:val="22"/>
          <w:szCs w:val="22"/>
        </w:rPr>
        <w:t>4</w:t>
      </w:r>
      <w:r w:rsidR="00E66AE6">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37310B" w:rsidRDefault="004C31B6" w:rsidP="004C31B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7310B">
        <w:rPr>
          <w:rFonts w:ascii="Calibri" w:hAnsi="Calibri" w:cs="Times New Roman"/>
          <w:sz w:val="22"/>
          <w:szCs w:val="22"/>
        </w:rPr>
        <w:t>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w:t>
      </w:r>
      <w:r>
        <w:rPr>
          <w:rFonts w:ascii="Calibri" w:hAnsi="Calibri" w:cs="Calibri"/>
          <w:sz w:val="22"/>
          <w:szCs w:val="22"/>
        </w:rPr>
        <w:t>schválením zaplacení ceny díla z finančních prostředků z rozpočtu statutárního města Ostravy, městského obvodu Moravská Ostrava a Přívoz</w:t>
      </w:r>
      <w:r w:rsidR="00CC2870">
        <w:rPr>
          <w:rFonts w:ascii="Calibri" w:hAnsi="Calibri" w:cs="Calibri"/>
          <w:sz w:val="22"/>
          <w:szCs w:val="22"/>
        </w:rPr>
        <w:t>.</w:t>
      </w:r>
      <w:r>
        <w:rPr>
          <w:rFonts w:ascii="Calibri" w:hAnsi="Calibri" w:cs="Calibri"/>
          <w:sz w:val="22"/>
          <w:szCs w:val="22"/>
        </w:rPr>
        <w:t xml:space="preserve"> Smlouva tak nabude účinnosti takto:</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V případě, že ke dni uzavření této smlouvy bude 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w:t>
      </w:r>
      <w:r w:rsidR="00CC2870">
        <w:rPr>
          <w:rFonts w:ascii="Calibri" w:hAnsi="Calibri" w:cs="Times New Roman"/>
          <w:sz w:val="22"/>
          <w:szCs w:val="22"/>
        </w:rPr>
        <w:t>dnem</w:t>
      </w:r>
      <w:r>
        <w:rPr>
          <w:rFonts w:ascii="Calibri" w:hAnsi="Calibri" w:cs="Times New Roman"/>
          <w:sz w:val="22"/>
          <w:szCs w:val="22"/>
        </w:rPr>
        <w:t xml:space="preserve">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CC2870"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w:t>
      </w:r>
      <w:r w:rsidR="00CC2870">
        <w:rPr>
          <w:rFonts w:ascii="Calibri" w:hAnsi="Calibri" w:cs="Calibri"/>
          <w:sz w:val="22"/>
          <w:szCs w:val="22"/>
        </w:rPr>
        <w:t>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w:t>
      </w:r>
      <w:r w:rsidR="00E66AE6">
        <w:rPr>
          <w:rFonts w:ascii="Calibri" w:hAnsi="Calibri" w:cs="Calibri"/>
          <w:sz w:val="22"/>
          <w:szCs w:val="22"/>
        </w:rPr>
        <w:t>a</w:t>
      </w:r>
      <w:r>
        <w:rPr>
          <w:rFonts w:ascii="Calibri" w:hAnsi="Calibri" w:cs="Calibri"/>
          <w:sz w:val="22"/>
          <w:szCs w:val="22"/>
        </w:rPr>
        <w:t xml:space="preserve"> toto oznámení vyhotovit </w:t>
      </w:r>
      <w:r w:rsidR="00E66AE6">
        <w:rPr>
          <w:rFonts w:ascii="Calibri" w:hAnsi="Calibri" w:cs="Calibri"/>
          <w:sz w:val="22"/>
          <w:szCs w:val="22"/>
        </w:rPr>
        <w:t>osoba oprávněná jej zastupovat ve věcech technických.</w:t>
      </w:r>
      <w:r>
        <w:rPr>
          <w:rFonts w:ascii="Calibri" w:hAnsi="Calibri" w:cs="Calibri"/>
          <w:sz w:val="22"/>
          <w:szCs w:val="22"/>
        </w:rPr>
        <w:t xml:space="preserve">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Calibri"/>
          <w:szCs w:val="22"/>
        </w:rPr>
        <w:tab/>
      </w:r>
      <w:r>
        <w:rPr>
          <w:rFonts w:ascii="Calibri" w:hAnsi="Calibri" w:cs="Calibri"/>
          <w:szCs w:val="22"/>
        </w:rPr>
        <w:tab/>
      </w: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lastRenderedPageBreak/>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F67EA" w:rsidRPr="000F67EA" w:rsidRDefault="000F67EA" w:rsidP="000F67EA">
      <w:pPr>
        <w:pStyle w:val="Odstavecseseznamem"/>
        <w:numPr>
          <w:ilvl w:val="1"/>
          <w:numId w:val="5"/>
        </w:numPr>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9</w:t>
      </w:r>
      <w:r w:rsidR="00EE1C28">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A52CA2" w:rsidRDefault="00A52CA2" w:rsidP="00186717">
      <w:pPr>
        <w:ind w:left="0" w:firstLine="0"/>
      </w:pPr>
    </w:p>
    <w:p w:rsidR="00D378F8" w:rsidRDefault="00D378F8" w:rsidP="00186717">
      <w:pPr>
        <w:rPr>
          <w:rFonts w:ascii="Calibri" w:hAnsi="Calibri" w:cs="Arial"/>
          <w:b/>
          <w:szCs w:val="22"/>
        </w:rPr>
      </w:pPr>
      <w:r w:rsidRPr="006B7156">
        <w:rPr>
          <w:rFonts w:ascii="Calibri" w:hAnsi="Calibri" w:cs="Arial"/>
          <w:b/>
          <w:szCs w:val="22"/>
        </w:rPr>
        <w:t>Příloha</w:t>
      </w:r>
      <w:r w:rsidRPr="006B7156">
        <w:rPr>
          <w:rFonts w:ascii="Calibri" w:hAnsi="Calibri"/>
          <w:szCs w:val="22"/>
        </w:rPr>
        <w:t xml:space="preserve">: </w:t>
      </w:r>
      <w:r w:rsidRPr="006B7156">
        <w:rPr>
          <w:rFonts w:ascii="Calibri" w:hAnsi="Calibri" w:cs="Arial"/>
          <w:b/>
          <w:szCs w:val="22"/>
        </w:rPr>
        <w:t>Položkový rozpočet</w:t>
      </w:r>
    </w:p>
    <w:p w:rsidR="005017E2" w:rsidRPr="00186717" w:rsidRDefault="005017E2" w:rsidP="00186717">
      <w:pPr>
        <w:rPr>
          <w:rFonts w:ascii="Calibri" w:hAnsi="Calibri"/>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Default="00D378F8" w:rsidP="00BB4B6F">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p w:rsidR="005017E2" w:rsidRDefault="005017E2" w:rsidP="00BB4B6F">
      <w:pPr>
        <w:rPr>
          <w:rFonts w:ascii="Calibri" w:hAnsi="Calibri"/>
          <w:szCs w:val="22"/>
        </w:rPr>
      </w:pPr>
    </w:p>
    <w:p w:rsidR="005017E2" w:rsidRDefault="005017E2" w:rsidP="00BB4B6F">
      <w:pPr>
        <w:rPr>
          <w:rFonts w:ascii="Calibri" w:hAnsi="Calibri" w:cs="Arial"/>
          <w:b/>
          <w:szCs w:val="22"/>
        </w:rPr>
      </w:pPr>
    </w:p>
    <w:p w:rsidR="005017E2" w:rsidRDefault="005017E2" w:rsidP="00260E00">
      <w:pPr>
        <w:ind w:left="0" w:firstLine="0"/>
        <w:rPr>
          <w:rFonts w:ascii="Calibri" w:hAnsi="Calibri" w:cs="Arial"/>
          <w:b/>
          <w:szCs w:val="22"/>
        </w:rPr>
      </w:pPr>
    </w:p>
    <w:p w:rsidR="005017E2" w:rsidRDefault="005017E2" w:rsidP="00BB4B6F">
      <w:pPr>
        <w:rPr>
          <w:rFonts w:ascii="Calibri" w:hAnsi="Calibri" w:cs="Arial"/>
          <w:b/>
          <w:szCs w:val="22"/>
        </w:rPr>
      </w:pPr>
    </w:p>
    <w:p w:rsidR="005017E2" w:rsidRDefault="005017E2" w:rsidP="00BB4B6F">
      <w:pPr>
        <w:rPr>
          <w:rFonts w:ascii="Calibri" w:hAnsi="Calibri" w:cs="Arial"/>
          <w:b/>
          <w:szCs w:val="22"/>
        </w:rPr>
      </w:pPr>
    </w:p>
    <w:p w:rsidR="005017E2" w:rsidRDefault="005017E2" w:rsidP="00BB4B6F">
      <w:pPr>
        <w:rPr>
          <w:rFonts w:ascii="Calibri" w:hAnsi="Calibri" w:cs="Arial"/>
          <w:b/>
          <w:szCs w:val="22"/>
        </w:rPr>
      </w:pPr>
    </w:p>
    <w:p w:rsidR="005017E2" w:rsidRDefault="005017E2" w:rsidP="00E667C4">
      <w:pPr>
        <w:ind w:left="0" w:firstLine="0"/>
        <w:rPr>
          <w:rFonts w:ascii="Calibri" w:hAnsi="Calibri" w:cs="Arial"/>
          <w:b/>
          <w:szCs w:val="22"/>
        </w:rPr>
      </w:pPr>
    </w:p>
    <w:sectPr w:rsidR="005017E2"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AA" w:rsidRDefault="00A854AA">
      <w:r>
        <w:separator/>
      </w:r>
    </w:p>
    <w:p w:rsidR="00A854AA" w:rsidRDefault="00A854AA"/>
    <w:p w:rsidR="00A854AA" w:rsidRDefault="00A854AA" w:rsidP="003A4FAD"/>
    <w:p w:rsidR="00A854AA" w:rsidRDefault="00A854AA"/>
    <w:p w:rsidR="00A854AA" w:rsidRDefault="00A854AA"/>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p w:rsidR="00A854AA" w:rsidRDefault="00A854AA"/>
    <w:p w:rsidR="00A854AA" w:rsidRDefault="00A854AA"/>
    <w:p w:rsidR="00A854AA" w:rsidRDefault="00A854AA" w:rsidP="00F75207"/>
    <w:p w:rsidR="00A854AA" w:rsidRDefault="00A854AA" w:rsidP="00F75207"/>
    <w:p w:rsidR="00A854AA" w:rsidRDefault="00A854AA"/>
    <w:p w:rsidR="00A854AA" w:rsidRDefault="00A854AA"/>
    <w:p w:rsidR="00A854AA" w:rsidRDefault="00A854AA"/>
    <w:p w:rsidR="00A854AA" w:rsidRDefault="00A854AA" w:rsidP="008A2932"/>
    <w:p w:rsidR="00A854AA" w:rsidRDefault="00A854AA"/>
    <w:p w:rsidR="00A854AA" w:rsidRDefault="00A854AA" w:rsidP="00341130"/>
    <w:p w:rsidR="00A854AA" w:rsidRDefault="00A854AA"/>
    <w:p w:rsidR="00A854AA" w:rsidRDefault="00A854AA" w:rsidP="004D65EC"/>
    <w:p w:rsidR="00A854AA" w:rsidRDefault="00A854AA"/>
    <w:p w:rsidR="00A854AA" w:rsidRDefault="00A854AA" w:rsidP="00F0468D"/>
    <w:p w:rsidR="00A854AA" w:rsidRDefault="00A854AA" w:rsidP="00F0468D"/>
    <w:p w:rsidR="00A854AA" w:rsidRDefault="00A854AA" w:rsidP="00F0468D"/>
    <w:p w:rsidR="00A854AA" w:rsidRDefault="00A854AA" w:rsidP="00F24506"/>
    <w:p w:rsidR="00A854AA" w:rsidRDefault="00A854AA" w:rsidP="00F24506"/>
    <w:p w:rsidR="00A854AA" w:rsidRDefault="00A854AA" w:rsidP="00F24506"/>
    <w:p w:rsidR="00A854AA" w:rsidRDefault="00A854AA" w:rsidP="00F24506"/>
    <w:p w:rsidR="00A854AA" w:rsidRDefault="00A854AA" w:rsidP="00F24506"/>
    <w:p w:rsidR="00A854AA" w:rsidRDefault="00A854AA"/>
    <w:p w:rsidR="00A854AA" w:rsidRDefault="00A854AA" w:rsidP="002632B7"/>
    <w:p w:rsidR="00A854AA" w:rsidRDefault="00A854AA" w:rsidP="00BC5006"/>
    <w:p w:rsidR="00A854AA" w:rsidRDefault="00A854AA"/>
    <w:p w:rsidR="00A854AA" w:rsidRDefault="00A854AA"/>
    <w:p w:rsidR="00A854AA" w:rsidRDefault="00A854AA"/>
    <w:p w:rsidR="00A854AA" w:rsidRDefault="00A854AA" w:rsidP="006F2FCD"/>
    <w:p w:rsidR="00A854AA" w:rsidRDefault="00A854AA"/>
    <w:p w:rsidR="00A854AA" w:rsidRDefault="00A854AA"/>
    <w:p w:rsidR="00A854AA" w:rsidRDefault="00A854AA" w:rsidP="00642E62"/>
    <w:p w:rsidR="00A854AA" w:rsidRDefault="00A854AA"/>
    <w:p w:rsidR="00A854AA" w:rsidRDefault="00A854AA" w:rsidP="00E23ADF"/>
    <w:p w:rsidR="00A854AA" w:rsidRDefault="00A854AA" w:rsidP="00E23ADF"/>
    <w:p w:rsidR="00A854AA" w:rsidRDefault="00A854AA" w:rsidP="00E23ADF"/>
    <w:p w:rsidR="00A854AA" w:rsidRDefault="00A854AA"/>
    <w:p w:rsidR="00A854AA" w:rsidRDefault="00A854AA" w:rsidP="005017E2"/>
    <w:p w:rsidR="00A854AA" w:rsidRDefault="00A854AA" w:rsidP="005017E2"/>
    <w:p w:rsidR="00A854AA" w:rsidRDefault="00A854AA" w:rsidP="005017E2"/>
  </w:endnote>
  <w:endnote w:type="continuationSeparator" w:id="0">
    <w:p w:rsidR="00A854AA" w:rsidRDefault="00A854AA">
      <w:r>
        <w:continuationSeparator/>
      </w:r>
    </w:p>
    <w:p w:rsidR="00A854AA" w:rsidRDefault="00A854AA"/>
    <w:p w:rsidR="00A854AA" w:rsidRDefault="00A854AA" w:rsidP="003A4FAD"/>
    <w:p w:rsidR="00A854AA" w:rsidRDefault="00A854AA"/>
    <w:p w:rsidR="00A854AA" w:rsidRDefault="00A854AA"/>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p w:rsidR="00A854AA" w:rsidRDefault="00A854AA"/>
    <w:p w:rsidR="00A854AA" w:rsidRDefault="00A854AA"/>
    <w:p w:rsidR="00A854AA" w:rsidRDefault="00A854AA" w:rsidP="00F75207"/>
    <w:p w:rsidR="00A854AA" w:rsidRDefault="00A854AA" w:rsidP="00F75207"/>
    <w:p w:rsidR="00A854AA" w:rsidRDefault="00A854AA"/>
    <w:p w:rsidR="00A854AA" w:rsidRDefault="00A854AA"/>
    <w:p w:rsidR="00A854AA" w:rsidRDefault="00A854AA"/>
    <w:p w:rsidR="00A854AA" w:rsidRDefault="00A854AA" w:rsidP="008A2932"/>
    <w:p w:rsidR="00A854AA" w:rsidRDefault="00A854AA"/>
    <w:p w:rsidR="00A854AA" w:rsidRDefault="00A854AA" w:rsidP="00341130"/>
    <w:p w:rsidR="00A854AA" w:rsidRDefault="00A854AA"/>
    <w:p w:rsidR="00A854AA" w:rsidRDefault="00A854AA" w:rsidP="004D65EC"/>
    <w:p w:rsidR="00A854AA" w:rsidRDefault="00A854AA"/>
    <w:p w:rsidR="00A854AA" w:rsidRDefault="00A854AA" w:rsidP="00F0468D"/>
    <w:p w:rsidR="00A854AA" w:rsidRDefault="00A854AA" w:rsidP="00F0468D"/>
    <w:p w:rsidR="00A854AA" w:rsidRDefault="00A854AA" w:rsidP="00F0468D"/>
    <w:p w:rsidR="00A854AA" w:rsidRDefault="00A854AA" w:rsidP="00F24506"/>
    <w:p w:rsidR="00A854AA" w:rsidRDefault="00A854AA" w:rsidP="00F24506"/>
    <w:p w:rsidR="00A854AA" w:rsidRDefault="00A854AA" w:rsidP="00F24506"/>
    <w:p w:rsidR="00A854AA" w:rsidRDefault="00A854AA" w:rsidP="00F24506"/>
    <w:p w:rsidR="00A854AA" w:rsidRDefault="00A854AA" w:rsidP="00F24506"/>
    <w:p w:rsidR="00A854AA" w:rsidRDefault="00A854AA"/>
    <w:p w:rsidR="00A854AA" w:rsidRDefault="00A854AA" w:rsidP="002632B7"/>
    <w:p w:rsidR="00A854AA" w:rsidRDefault="00A854AA" w:rsidP="00BC5006"/>
    <w:p w:rsidR="00A854AA" w:rsidRDefault="00A854AA"/>
    <w:p w:rsidR="00A854AA" w:rsidRDefault="00A854AA"/>
    <w:p w:rsidR="00A854AA" w:rsidRDefault="00A854AA"/>
    <w:p w:rsidR="00A854AA" w:rsidRDefault="00A854AA" w:rsidP="006F2FCD"/>
    <w:p w:rsidR="00A854AA" w:rsidRDefault="00A854AA"/>
    <w:p w:rsidR="00A854AA" w:rsidRDefault="00A854AA"/>
    <w:p w:rsidR="00A854AA" w:rsidRDefault="00A854AA" w:rsidP="00642E62"/>
    <w:p w:rsidR="00A854AA" w:rsidRDefault="00A854AA"/>
    <w:p w:rsidR="00A854AA" w:rsidRDefault="00A854AA" w:rsidP="00E23ADF"/>
    <w:p w:rsidR="00A854AA" w:rsidRDefault="00A854AA" w:rsidP="00E23ADF"/>
    <w:p w:rsidR="00A854AA" w:rsidRDefault="00A854AA" w:rsidP="00E23ADF"/>
    <w:p w:rsidR="00A854AA" w:rsidRDefault="00A854AA"/>
    <w:p w:rsidR="00A854AA" w:rsidRDefault="00A854AA" w:rsidP="005017E2"/>
    <w:p w:rsidR="00A854AA" w:rsidRDefault="00A854AA" w:rsidP="005017E2"/>
    <w:p w:rsidR="00A854AA" w:rsidRDefault="00A854AA" w:rsidP="0050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pat"/>
      <w:tabs>
        <w:tab w:val="clear" w:pos="4536"/>
        <w:tab w:val="clear" w:pos="9072"/>
        <w:tab w:val="left" w:pos="1418"/>
        <w:tab w:val="center" w:pos="14220"/>
      </w:tabs>
      <w:spacing w:line="240" w:lineRule="exact"/>
      <w:rPr>
        <w:rStyle w:val="slostrnky"/>
        <w:rFonts w:cs="Arial"/>
        <w:b w:val="0"/>
        <w:kern w:val="24"/>
      </w:rPr>
    </w:pPr>
  </w:p>
  <w:p w:rsidR="005017E2" w:rsidRPr="005017E2" w:rsidRDefault="005017E2" w:rsidP="005017E2">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B219869" wp14:editId="02E0E91D">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4D1EA4">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4D1EA4">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Pr="000F5A2D">
      <w:rPr>
        <w:rFonts w:ascii="Calibri" w:hAnsi="Calibri"/>
        <w:b/>
        <w:kern w:val="24"/>
        <w:sz w:val="18"/>
        <w:szCs w:val="18"/>
      </w:rPr>
      <w:t xml:space="preserve">Rekonstrukce </w:t>
    </w:r>
    <w:r w:rsidR="00075029">
      <w:rPr>
        <w:rFonts w:ascii="Calibri" w:hAnsi="Calibri"/>
        <w:b/>
        <w:kern w:val="24"/>
        <w:sz w:val="18"/>
        <w:szCs w:val="18"/>
      </w:rPr>
      <w:t>náměstí Dr. E. Beneše</w:t>
    </w:r>
    <w:r w:rsidRPr="000F5A2D">
      <w:rPr>
        <w:rFonts w:ascii="Calibri" w:hAnsi="Calibri"/>
        <w:b/>
        <w:kern w:val="24"/>
        <w:sz w:val="18"/>
        <w:szCs w:val="18"/>
      </w:rPr>
      <w:t xml:space="preserve"> </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017E2" w:rsidRPr="005017E2" w:rsidRDefault="005017E2" w:rsidP="005017E2">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306BD589" wp14:editId="33EBB5FC">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4D1EA4">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4D1EA4">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Pr="00B73F7A">
      <w:rPr>
        <w:rFonts w:ascii="Calibri" w:hAnsi="Calibri"/>
        <w:b/>
        <w:kern w:val="24"/>
        <w:sz w:val="18"/>
        <w:szCs w:val="18"/>
      </w:rPr>
      <w:t xml:space="preserve">Rekonstrukce </w:t>
    </w:r>
    <w:r w:rsidR="00075029">
      <w:rPr>
        <w:rFonts w:ascii="Calibri" w:hAnsi="Calibri"/>
        <w:b/>
        <w:kern w:val="24"/>
        <w:sz w:val="18"/>
        <w:szCs w:val="18"/>
      </w:rPr>
      <w:t>náměstí Dr. E. Beneše</w:t>
    </w:r>
    <w:r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AA" w:rsidRDefault="00A854AA">
      <w:r>
        <w:separator/>
      </w:r>
    </w:p>
    <w:p w:rsidR="00A854AA" w:rsidRDefault="00A854AA"/>
    <w:p w:rsidR="00A854AA" w:rsidRDefault="00A854AA" w:rsidP="003A4FAD"/>
    <w:p w:rsidR="00A854AA" w:rsidRDefault="00A854AA"/>
    <w:p w:rsidR="00A854AA" w:rsidRDefault="00A854AA"/>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p w:rsidR="00A854AA" w:rsidRDefault="00A854AA"/>
    <w:p w:rsidR="00A854AA" w:rsidRDefault="00A854AA"/>
    <w:p w:rsidR="00A854AA" w:rsidRDefault="00A854AA" w:rsidP="00F75207"/>
    <w:p w:rsidR="00A854AA" w:rsidRDefault="00A854AA" w:rsidP="00F75207"/>
    <w:p w:rsidR="00A854AA" w:rsidRDefault="00A854AA"/>
    <w:p w:rsidR="00A854AA" w:rsidRDefault="00A854AA"/>
    <w:p w:rsidR="00A854AA" w:rsidRDefault="00A854AA"/>
    <w:p w:rsidR="00A854AA" w:rsidRDefault="00A854AA" w:rsidP="008A2932"/>
    <w:p w:rsidR="00A854AA" w:rsidRDefault="00A854AA"/>
    <w:p w:rsidR="00A854AA" w:rsidRDefault="00A854AA" w:rsidP="00341130"/>
    <w:p w:rsidR="00A854AA" w:rsidRDefault="00A854AA"/>
    <w:p w:rsidR="00A854AA" w:rsidRDefault="00A854AA" w:rsidP="004D65EC"/>
    <w:p w:rsidR="00A854AA" w:rsidRDefault="00A854AA"/>
    <w:p w:rsidR="00A854AA" w:rsidRDefault="00A854AA" w:rsidP="00F0468D"/>
    <w:p w:rsidR="00A854AA" w:rsidRDefault="00A854AA" w:rsidP="00F0468D"/>
    <w:p w:rsidR="00A854AA" w:rsidRDefault="00A854AA" w:rsidP="00F0468D"/>
    <w:p w:rsidR="00A854AA" w:rsidRDefault="00A854AA" w:rsidP="00F24506"/>
    <w:p w:rsidR="00A854AA" w:rsidRDefault="00A854AA" w:rsidP="00F24506"/>
    <w:p w:rsidR="00A854AA" w:rsidRDefault="00A854AA" w:rsidP="00F24506"/>
    <w:p w:rsidR="00A854AA" w:rsidRDefault="00A854AA" w:rsidP="00F24506"/>
    <w:p w:rsidR="00A854AA" w:rsidRDefault="00A854AA" w:rsidP="00F24506"/>
    <w:p w:rsidR="00A854AA" w:rsidRDefault="00A854AA"/>
    <w:p w:rsidR="00A854AA" w:rsidRDefault="00A854AA" w:rsidP="002632B7"/>
    <w:p w:rsidR="00A854AA" w:rsidRDefault="00A854AA" w:rsidP="00BC5006"/>
    <w:p w:rsidR="00A854AA" w:rsidRDefault="00A854AA"/>
    <w:p w:rsidR="00A854AA" w:rsidRDefault="00A854AA"/>
    <w:p w:rsidR="00A854AA" w:rsidRDefault="00A854AA"/>
    <w:p w:rsidR="00A854AA" w:rsidRDefault="00A854AA" w:rsidP="006F2FCD"/>
    <w:p w:rsidR="00A854AA" w:rsidRDefault="00A854AA"/>
    <w:p w:rsidR="00A854AA" w:rsidRDefault="00A854AA"/>
    <w:p w:rsidR="00A854AA" w:rsidRDefault="00A854AA" w:rsidP="00642E62"/>
    <w:p w:rsidR="00A854AA" w:rsidRDefault="00A854AA"/>
    <w:p w:rsidR="00A854AA" w:rsidRDefault="00A854AA" w:rsidP="00E23ADF"/>
    <w:p w:rsidR="00A854AA" w:rsidRDefault="00A854AA" w:rsidP="00E23ADF"/>
    <w:p w:rsidR="00A854AA" w:rsidRDefault="00A854AA" w:rsidP="00E23ADF"/>
    <w:p w:rsidR="00A854AA" w:rsidRDefault="00A854AA"/>
    <w:p w:rsidR="00A854AA" w:rsidRDefault="00A854AA" w:rsidP="005017E2"/>
    <w:p w:rsidR="00A854AA" w:rsidRDefault="00A854AA" w:rsidP="005017E2"/>
    <w:p w:rsidR="00A854AA" w:rsidRDefault="00A854AA" w:rsidP="005017E2"/>
  </w:footnote>
  <w:footnote w:type="continuationSeparator" w:id="0">
    <w:p w:rsidR="00A854AA" w:rsidRDefault="00A854AA">
      <w:r>
        <w:continuationSeparator/>
      </w:r>
    </w:p>
    <w:p w:rsidR="00A854AA" w:rsidRDefault="00A854AA"/>
    <w:p w:rsidR="00A854AA" w:rsidRDefault="00A854AA" w:rsidP="003A4FAD"/>
    <w:p w:rsidR="00A854AA" w:rsidRDefault="00A854AA"/>
    <w:p w:rsidR="00A854AA" w:rsidRDefault="00A854AA"/>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rsidP="00911049"/>
    <w:p w:rsidR="00A854AA" w:rsidRDefault="00A854AA"/>
    <w:p w:rsidR="00A854AA" w:rsidRDefault="00A854AA"/>
    <w:p w:rsidR="00A854AA" w:rsidRDefault="00A854AA"/>
    <w:p w:rsidR="00A854AA" w:rsidRDefault="00A854AA" w:rsidP="00F75207"/>
    <w:p w:rsidR="00A854AA" w:rsidRDefault="00A854AA" w:rsidP="00F75207"/>
    <w:p w:rsidR="00A854AA" w:rsidRDefault="00A854AA"/>
    <w:p w:rsidR="00A854AA" w:rsidRDefault="00A854AA"/>
    <w:p w:rsidR="00A854AA" w:rsidRDefault="00A854AA"/>
    <w:p w:rsidR="00A854AA" w:rsidRDefault="00A854AA" w:rsidP="008A2932"/>
    <w:p w:rsidR="00A854AA" w:rsidRDefault="00A854AA"/>
    <w:p w:rsidR="00A854AA" w:rsidRDefault="00A854AA" w:rsidP="00341130"/>
    <w:p w:rsidR="00A854AA" w:rsidRDefault="00A854AA"/>
    <w:p w:rsidR="00A854AA" w:rsidRDefault="00A854AA" w:rsidP="004D65EC"/>
    <w:p w:rsidR="00A854AA" w:rsidRDefault="00A854AA"/>
    <w:p w:rsidR="00A854AA" w:rsidRDefault="00A854AA" w:rsidP="00F0468D"/>
    <w:p w:rsidR="00A854AA" w:rsidRDefault="00A854AA" w:rsidP="00F0468D"/>
    <w:p w:rsidR="00A854AA" w:rsidRDefault="00A854AA" w:rsidP="00F0468D"/>
    <w:p w:rsidR="00A854AA" w:rsidRDefault="00A854AA" w:rsidP="00F24506"/>
    <w:p w:rsidR="00A854AA" w:rsidRDefault="00A854AA" w:rsidP="00F24506"/>
    <w:p w:rsidR="00A854AA" w:rsidRDefault="00A854AA" w:rsidP="00F24506"/>
    <w:p w:rsidR="00A854AA" w:rsidRDefault="00A854AA" w:rsidP="00F24506"/>
    <w:p w:rsidR="00A854AA" w:rsidRDefault="00A854AA" w:rsidP="00F24506"/>
    <w:p w:rsidR="00A854AA" w:rsidRDefault="00A854AA"/>
    <w:p w:rsidR="00A854AA" w:rsidRDefault="00A854AA" w:rsidP="002632B7"/>
    <w:p w:rsidR="00A854AA" w:rsidRDefault="00A854AA" w:rsidP="00BC5006"/>
    <w:p w:rsidR="00A854AA" w:rsidRDefault="00A854AA"/>
    <w:p w:rsidR="00A854AA" w:rsidRDefault="00A854AA"/>
    <w:p w:rsidR="00A854AA" w:rsidRDefault="00A854AA"/>
    <w:p w:rsidR="00A854AA" w:rsidRDefault="00A854AA" w:rsidP="006F2FCD"/>
    <w:p w:rsidR="00A854AA" w:rsidRDefault="00A854AA"/>
    <w:p w:rsidR="00A854AA" w:rsidRDefault="00A854AA"/>
    <w:p w:rsidR="00A854AA" w:rsidRDefault="00A854AA" w:rsidP="00642E62"/>
    <w:p w:rsidR="00A854AA" w:rsidRDefault="00A854AA"/>
    <w:p w:rsidR="00A854AA" w:rsidRDefault="00A854AA" w:rsidP="00E23ADF"/>
    <w:p w:rsidR="00A854AA" w:rsidRDefault="00A854AA" w:rsidP="00E23ADF"/>
    <w:p w:rsidR="00A854AA" w:rsidRDefault="00A854AA" w:rsidP="00E23ADF"/>
    <w:p w:rsidR="00A854AA" w:rsidRDefault="00A854AA"/>
    <w:p w:rsidR="00A854AA" w:rsidRDefault="00A854AA" w:rsidP="005017E2"/>
    <w:p w:rsidR="00A854AA" w:rsidRDefault="00A854AA" w:rsidP="005017E2"/>
    <w:p w:rsidR="00A854AA" w:rsidRDefault="00A854AA" w:rsidP="00501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5017E2" w:rsidRDefault="005017E2" w:rsidP="00C57760">
    <w:pPr>
      <w:pStyle w:val="Zhlav"/>
    </w:pPr>
    <w:r>
      <w:rPr>
        <w:b/>
      </w:rPr>
      <w:t>ú</w:t>
    </w:r>
    <w:r w:rsidRPr="0054037B">
      <w:rPr>
        <w:b/>
      </w:rPr>
      <w:t>řad městského obvodu</w:t>
    </w:r>
  </w:p>
  <w:p w:rsidR="005017E2" w:rsidRDefault="005017E2" w:rsidP="00E23ADF">
    <w:pPr>
      <w:ind w:left="0" w:firstLine="0"/>
    </w:pPr>
  </w:p>
  <w:p w:rsidR="005017E2" w:rsidRDefault="005017E2" w:rsidP="005017E2">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5017E2" w:rsidRDefault="005017E2" w:rsidP="005017E2">
    <w:pPr>
      <w:ind w:left="0" w:firstLine="0"/>
    </w:pPr>
  </w:p>
  <w:p w:rsidR="005017E2" w:rsidRDefault="005017E2" w:rsidP="005017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4">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6"/>
  </w:num>
  <w:num w:numId="3">
    <w:abstractNumId w:val="15"/>
  </w:num>
  <w:num w:numId="4">
    <w:abstractNumId w:val="3"/>
  </w:num>
  <w:num w:numId="5">
    <w:abstractNumId w:val="12"/>
  </w:num>
  <w:num w:numId="6">
    <w:abstractNumId w:val="4"/>
  </w:num>
  <w:num w:numId="7">
    <w:abstractNumId w:val="21"/>
  </w:num>
  <w:num w:numId="8">
    <w:abstractNumId w:val="30"/>
  </w:num>
  <w:num w:numId="9">
    <w:abstractNumId w:val="19"/>
  </w:num>
  <w:num w:numId="10">
    <w:abstractNumId w:val="20"/>
  </w:num>
  <w:num w:numId="11">
    <w:abstractNumId w:val="7"/>
  </w:num>
  <w:num w:numId="12">
    <w:abstractNumId w:val="28"/>
  </w:num>
  <w:num w:numId="13">
    <w:abstractNumId w:val="6"/>
  </w:num>
  <w:num w:numId="14">
    <w:abstractNumId w:val="29"/>
  </w:num>
  <w:num w:numId="15">
    <w:abstractNumId w:val="10"/>
  </w:num>
  <w:num w:numId="16">
    <w:abstractNumId w:val="18"/>
  </w:num>
  <w:num w:numId="17">
    <w:abstractNumId w:val="14"/>
  </w:num>
  <w:num w:numId="18">
    <w:abstractNumId w:val="27"/>
  </w:num>
  <w:num w:numId="19">
    <w:abstractNumId w:val="8"/>
  </w:num>
  <w:num w:numId="20">
    <w:abstractNumId w:val="5"/>
  </w:num>
  <w:num w:numId="21">
    <w:abstractNumId w:val="11"/>
  </w:num>
  <w:num w:numId="22">
    <w:abstractNumId w:val="23"/>
  </w:num>
  <w:num w:numId="23">
    <w:abstractNumId w:val="24"/>
  </w:num>
  <w:num w:numId="24">
    <w:abstractNumId w:val="22"/>
  </w:num>
  <w:num w:numId="25">
    <w:abstractNumId w:val="9"/>
  </w:num>
  <w:num w:numId="26">
    <w:abstractNumId w:val="2"/>
  </w:num>
  <w:num w:numId="27">
    <w:abstractNumId w:val="1"/>
  </w:num>
  <w:num w:numId="28">
    <w:abstractNumId w:val="17"/>
  </w:num>
  <w:num w:numId="29">
    <w:abstractNumId w:val="0"/>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5029"/>
    <w:rsid w:val="0007610F"/>
    <w:rsid w:val="0007645A"/>
    <w:rsid w:val="00083CAC"/>
    <w:rsid w:val="00085C6C"/>
    <w:rsid w:val="00090196"/>
    <w:rsid w:val="00090A11"/>
    <w:rsid w:val="0009194B"/>
    <w:rsid w:val="00094081"/>
    <w:rsid w:val="000A1243"/>
    <w:rsid w:val="000A2B7A"/>
    <w:rsid w:val="000A3E0D"/>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429C"/>
    <w:rsid w:val="001154AE"/>
    <w:rsid w:val="00115FDE"/>
    <w:rsid w:val="00116136"/>
    <w:rsid w:val="00121898"/>
    <w:rsid w:val="001219AD"/>
    <w:rsid w:val="00123DAF"/>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1037"/>
    <w:rsid w:val="00181A09"/>
    <w:rsid w:val="00184170"/>
    <w:rsid w:val="00186717"/>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3F9"/>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6C5A"/>
    <w:rsid w:val="003526BB"/>
    <w:rsid w:val="003544C2"/>
    <w:rsid w:val="00356EDC"/>
    <w:rsid w:val="00357B74"/>
    <w:rsid w:val="0036007C"/>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3203"/>
    <w:rsid w:val="003B3504"/>
    <w:rsid w:val="003B5922"/>
    <w:rsid w:val="003B707B"/>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6FEF"/>
    <w:rsid w:val="0048051F"/>
    <w:rsid w:val="00482DAA"/>
    <w:rsid w:val="0048530F"/>
    <w:rsid w:val="00485757"/>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1EA4"/>
    <w:rsid w:val="004D2EA5"/>
    <w:rsid w:val="004D33D3"/>
    <w:rsid w:val="004D526D"/>
    <w:rsid w:val="004D5B11"/>
    <w:rsid w:val="004D65EC"/>
    <w:rsid w:val="004E0014"/>
    <w:rsid w:val="004E0CE9"/>
    <w:rsid w:val="004F5BEE"/>
    <w:rsid w:val="005004A1"/>
    <w:rsid w:val="005017E2"/>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6205"/>
    <w:rsid w:val="00551145"/>
    <w:rsid w:val="00551D5E"/>
    <w:rsid w:val="00553F40"/>
    <w:rsid w:val="0055599A"/>
    <w:rsid w:val="005567ED"/>
    <w:rsid w:val="00562B3E"/>
    <w:rsid w:val="005631F8"/>
    <w:rsid w:val="00563633"/>
    <w:rsid w:val="00565E37"/>
    <w:rsid w:val="00567280"/>
    <w:rsid w:val="00572E45"/>
    <w:rsid w:val="00580840"/>
    <w:rsid w:val="00581921"/>
    <w:rsid w:val="00584D32"/>
    <w:rsid w:val="00584D51"/>
    <w:rsid w:val="005863A6"/>
    <w:rsid w:val="005910DA"/>
    <w:rsid w:val="005925C0"/>
    <w:rsid w:val="005949A1"/>
    <w:rsid w:val="00595D85"/>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4EE"/>
    <w:rsid w:val="005D217A"/>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A6E7B"/>
    <w:rsid w:val="006B3982"/>
    <w:rsid w:val="006B3E28"/>
    <w:rsid w:val="006B5264"/>
    <w:rsid w:val="006B64CD"/>
    <w:rsid w:val="006B7156"/>
    <w:rsid w:val="006C2050"/>
    <w:rsid w:val="006C21D9"/>
    <w:rsid w:val="006D45B5"/>
    <w:rsid w:val="006D64A6"/>
    <w:rsid w:val="006D7A94"/>
    <w:rsid w:val="006E27A6"/>
    <w:rsid w:val="006E71AE"/>
    <w:rsid w:val="006F2FCD"/>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4C28"/>
    <w:rsid w:val="0073542D"/>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213E"/>
    <w:rsid w:val="00922C18"/>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523"/>
    <w:rsid w:val="009714A8"/>
    <w:rsid w:val="0097252C"/>
    <w:rsid w:val="009733E0"/>
    <w:rsid w:val="00973A38"/>
    <w:rsid w:val="00974FC6"/>
    <w:rsid w:val="009765DB"/>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68F"/>
    <w:rsid w:val="00A837C4"/>
    <w:rsid w:val="00A854AA"/>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508C1"/>
    <w:rsid w:val="00B5444C"/>
    <w:rsid w:val="00B5727F"/>
    <w:rsid w:val="00B57900"/>
    <w:rsid w:val="00B6008F"/>
    <w:rsid w:val="00B61C00"/>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49AC"/>
    <w:rsid w:val="00BD6667"/>
    <w:rsid w:val="00BD6880"/>
    <w:rsid w:val="00BE06AA"/>
    <w:rsid w:val="00BE3597"/>
    <w:rsid w:val="00BE3E11"/>
    <w:rsid w:val="00BE45C7"/>
    <w:rsid w:val="00BE45EF"/>
    <w:rsid w:val="00BE5D77"/>
    <w:rsid w:val="00BE6DE0"/>
    <w:rsid w:val="00BF3BD6"/>
    <w:rsid w:val="00BF60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6C29"/>
    <w:rsid w:val="00C80CD7"/>
    <w:rsid w:val="00C8292F"/>
    <w:rsid w:val="00C865AE"/>
    <w:rsid w:val="00C86965"/>
    <w:rsid w:val="00C8696E"/>
    <w:rsid w:val="00C87695"/>
    <w:rsid w:val="00C9055E"/>
    <w:rsid w:val="00C90C6C"/>
    <w:rsid w:val="00C95568"/>
    <w:rsid w:val="00C9578B"/>
    <w:rsid w:val="00C97F88"/>
    <w:rsid w:val="00CA797A"/>
    <w:rsid w:val="00CB0A23"/>
    <w:rsid w:val="00CB3A8B"/>
    <w:rsid w:val="00CB4A1E"/>
    <w:rsid w:val="00CB513F"/>
    <w:rsid w:val="00CC2870"/>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75D5"/>
    <w:rsid w:val="00D30045"/>
    <w:rsid w:val="00D33B73"/>
    <w:rsid w:val="00D349C3"/>
    <w:rsid w:val="00D34A04"/>
    <w:rsid w:val="00D378F8"/>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716A3"/>
    <w:rsid w:val="00D7284A"/>
    <w:rsid w:val="00D72C93"/>
    <w:rsid w:val="00D73B7F"/>
    <w:rsid w:val="00D756B8"/>
    <w:rsid w:val="00D77231"/>
    <w:rsid w:val="00D772D0"/>
    <w:rsid w:val="00D82E21"/>
    <w:rsid w:val="00D82F7E"/>
    <w:rsid w:val="00D830AD"/>
    <w:rsid w:val="00D86D0A"/>
    <w:rsid w:val="00D90F68"/>
    <w:rsid w:val="00D95168"/>
    <w:rsid w:val="00D95CE1"/>
    <w:rsid w:val="00D96493"/>
    <w:rsid w:val="00D970EA"/>
    <w:rsid w:val="00DA2CFA"/>
    <w:rsid w:val="00DA3B74"/>
    <w:rsid w:val="00DA69C3"/>
    <w:rsid w:val="00DB5A35"/>
    <w:rsid w:val="00DB729A"/>
    <w:rsid w:val="00DB7CD3"/>
    <w:rsid w:val="00DC1BC8"/>
    <w:rsid w:val="00DC3958"/>
    <w:rsid w:val="00DC5AFF"/>
    <w:rsid w:val="00DD102B"/>
    <w:rsid w:val="00DD265B"/>
    <w:rsid w:val="00DD348A"/>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4557"/>
    <w:rsid w:val="00E557CC"/>
    <w:rsid w:val="00E56A15"/>
    <w:rsid w:val="00E638DD"/>
    <w:rsid w:val="00E6589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81138"/>
    <w:rsid w:val="00F81B0A"/>
    <w:rsid w:val="00F838CE"/>
    <w:rsid w:val="00F83D4A"/>
    <w:rsid w:val="00F84505"/>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7CE0"/>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573CA-97F6-4765-840F-413230F1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5789</Words>
  <Characters>34160</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Geisler Jiří</cp:lastModifiedBy>
  <cp:revision>10</cp:revision>
  <cp:lastPrinted>2017-01-20T08:39:00Z</cp:lastPrinted>
  <dcterms:created xsi:type="dcterms:W3CDTF">2017-01-18T11:41:00Z</dcterms:created>
  <dcterms:modified xsi:type="dcterms:W3CDTF">2017-01-20T08:53:00Z</dcterms:modified>
</cp:coreProperties>
</file>